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s="Arial"/>
          <w:b/>
          <w:i w:val="0"/>
          <w:color w:val="36A99A"/>
          <w:sz w:val="18"/>
        </w:rPr>
        <w:t>PHASE 06   TESTING</w:t>
      </w:r>
    </w:p>
    <w:p>
      <w:pPr>
        <w:pStyle w:val="Title"/>
      </w:pPr>
      <w:r>
        <w:rPr>
          <w:rFonts w:ascii="Arial" w:hAnsi="Arial" w:cs="Arial"/>
          <w:b/>
          <w:i w:val="0"/>
          <w:color w:val="111111"/>
          <w:sz w:val="48"/>
        </w:rPr>
        <w:t>PocketSmart AI Phase 6 Project Testing</w:t>
      </w:r>
    </w:p>
    <w:p>
      <w:pPr>
        <w:spacing w:after="160"/>
      </w:pPr>
      <w:r>
        <w:rPr>
          <w:rFonts w:ascii="Arial" w:hAnsi="Arial" w:cs="Arial"/>
          <w:b w:val="0"/>
          <w:i w:val="0"/>
          <w:color w:val="607086"/>
          <w:sz w:val="23"/>
        </w:rPr>
        <w:t>Quality checks, documented coverage and performance plan</w:t>
      </w:r>
    </w:p>
    <w:p>
      <w:pPr>
        <w:spacing w:after="160"/>
      </w:pPr>
      <w:r>
        <w:rPr>
          <w:rFonts w:ascii="Arial" w:hAnsi="Arial" w:cs="Arial"/>
          <w:b w:val="0"/>
          <w:i w:val="0"/>
          <w:color w:val="607086"/>
          <w:sz w:val="17"/>
        </w:rPr>
        <w:t>Prepared 03 October 2026</w:t>
      </w:r>
    </w:p>
    <w:p>
      <w:pPr>
        <w:keepLines/>
        <w:spacing w:after="110" w:line="259" w:lineRule="auto"/>
      </w:pPr>
      <w:r>
        <w:rPr>
          <w:rFonts w:ascii="Arial" w:hAnsi="Arial" w:cs="Arial"/>
          <w:b w:val="0"/>
          <w:i w:val="0"/>
          <w:color w:val="202B3C"/>
          <w:sz w:val="20"/>
        </w:rPr>
        <w:t>The project includes an automated test file, and the README describes coverage for authentication, planners, budgets, history, search links and image validation. No test run or measured performance results were supplied for this phase document.</w:t>
      </w:r>
    </w:p>
    <w:p>
      <w:pPr>
        <w:pStyle w:val="Heading1"/>
        <w:keepNext/>
      </w:pPr>
      <w:r>
        <w:t>Testing objectives</w:t>
      </w:r>
    </w:p>
    <w:p>
      <w:pPr>
        <w:pStyle w:val="ListBullet"/>
        <w:spacing w:after="60"/>
        <w:ind w:left="317" w:hanging="216"/>
      </w:pPr>
      <w:r>
        <w:rPr>
          <w:rFonts w:ascii="Arial" w:hAnsi="Arial" w:cs="Arial"/>
          <w:b w:val="0"/>
          <w:i w:val="0"/>
          <w:color w:val="202B3C"/>
          <w:sz w:val="20"/>
        </w:rPr>
        <w:t>Confirm valid requests produce plans within the requested budget.</w:t>
      </w:r>
    </w:p>
    <w:p>
      <w:pPr>
        <w:pStyle w:val="ListBullet"/>
        <w:spacing w:after="60"/>
        <w:ind w:left="317" w:hanging="216"/>
      </w:pPr>
      <w:r>
        <w:rPr>
          <w:rFonts w:ascii="Arial" w:hAnsi="Arial" w:cs="Arial"/>
          <w:b w:val="0"/>
          <w:i w:val="0"/>
          <w:color w:val="202B3C"/>
          <w:sz w:val="20"/>
        </w:rPr>
        <w:t>Confirm invalid values, unauthorized access and unsafe uploads are rejected.</w:t>
      </w:r>
    </w:p>
    <w:p>
      <w:pPr>
        <w:pStyle w:val="ListBullet"/>
        <w:spacing w:after="60"/>
        <w:ind w:left="317" w:hanging="216"/>
      </w:pPr>
      <w:r>
        <w:rPr>
          <w:rFonts w:ascii="Arial" w:hAnsi="Arial" w:cs="Arial"/>
          <w:b w:val="0"/>
          <w:i w:val="0"/>
          <w:color w:val="202B3C"/>
          <w:sz w:val="20"/>
        </w:rPr>
        <w:t>Confirm saved plans remain private to their creator.</w:t>
      </w:r>
    </w:p>
    <w:p>
      <w:pPr>
        <w:pStyle w:val="ListBullet"/>
        <w:spacing w:after="60"/>
        <w:ind w:left="317" w:hanging="216"/>
      </w:pPr>
      <w:r>
        <w:rPr>
          <w:rFonts w:ascii="Arial" w:hAnsi="Arial" w:cs="Arial"/>
          <w:b w:val="0"/>
          <w:i w:val="0"/>
          <w:color w:val="202B3C"/>
          <w:sz w:val="20"/>
        </w:rPr>
        <w:t>Measure response behavior separately for local fallback and optional Gemini use.</w:t>
      </w:r>
    </w:p>
    <w:p>
      <w:pPr>
        <w:pStyle w:val="Heading1"/>
        <w:keepNext/>
      </w:pPr>
      <w:r>
        <w:t>Documented automated coverage</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Area</w:t>
            </w:r>
          </w:p>
        </w:tc>
        <w:tc>
          <w:tcPr>
            <w:tcW w:type="dxa" w:w="7603"/>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Checks described in README</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Accounts and sessions</w:t>
            </w:r>
          </w:p>
        </w:tc>
        <w:tc>
          <w:tcPr>
            <w:tcW w:type="dxa" w:w="760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Registration, authentication, CSRF protection and bearer-token authentication.</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Planner behavior</w:t>
            </w:r>
          </w:p>
        </w:tc>
        <w:tc>
          <w:tcPr>
            <w:tcW w:type="dxa" w:w="760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Home, party and jewelry flows and budget limits.</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Plan output</w:t>
            </w:r>
          </w:p>
        </w:tc>
        <w:tc>
          <w:tcPr>
            <w:tcW w:type="dxa" w:w="760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Retailer search links and saved recommendation history.</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Uploads</w:t>
            </w:r>
          </w:p>
        </w:tc>
        <w:tc>
          <w:tcPr>
            <w:tcW w:type="dxa" w:w="760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Invalid jewelry image uploads.</w:t>
            </w:r>
          </w:p>
        </w:tc>
      </w:tr>
    </w:tbl>
    <w:p>
      <w:pPr>
        <w:spacing w:after="20" w:line="144" w:lineRule="auto"/>
      </w:pPr>
    </w:p>
    <w:p>
      <w:pPr>
        <w:pStyle w:val="Heading1"/>
        <w:keepNext/>
      </w:pPr>
      <w:r>
        <w:t>Recommended quality matrix</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528"/>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Check</w:t>
            </w:r>
          </w:p>
        </w:tc>
        <w:tc>
          <w:tcPr>
            <w:tcW w:type="dxa" w:w="6307"/>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Expected evidence</w:t>
            </w:r>
          </w:p>
        </w:tc>
      </w:tr>
      <w:tr>
        <w:trPr>
          <w:cantSplit/>
        </w:trPr>
        <w:tc>
          <w:tcPr>
            <w:tcW w:type="dxa" w:w="3528"/>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Valid planner requests</w:t>
            </w:r>
          </w:p>
        </w:tc>
        <w:tc>
          <w:tcPr>
            <w:tcW w:type="dxa" w:w="6307"/>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Each returns the expected planner type and structured fields.</w:t>
            </w:r>
          </w:p>
        </w:tc>
      </w:tr>
      <w:tr>
        <w:trPr>
          <w:cantSplit/>
        </w:trPr>
        <w:tc>
          <w:tcPr>
            <w:tcW w:type="dxa" w:w="3528"/>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Budget and count boundaries</w:t>
            </w:r>
          </w:p>
        </w:tc>
        <w:tc>
          <w:tcPr>
            <w:tcW w:type="dxa" w:w="6307"/>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Allowed limits pass; values outside them receive validation errors.</w:t>
            </w:r>
          </w:p>
        </w:tc>
      </w:tr>
      <w:tr>
        <w:trPr>
          <w:cantSplit/>
        </w:trPr>
        <w:tc>
          <w:tcPr>
            <w:tcW w:type="dxa" w:w="3528"/>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Account isolation</w:t>
            </w:r>
          </w:p>
        </w:tc>
        <w:tc>
          <w:tcPr>
            <w:tcW w:type="dxa" w:w="6307"/>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One user cannot list or open another user's saved plan.</w:t>
            </w:r>
          </w:p>
        </w:tc>
      </w:tr>
      <w:tr>
        <w:trPr>
          <w:cantSplit/>
        </w:trPr>
        <w:tc>
          <w:tcPr>
            <w:tcW w:type="dxa" w:w="3528"/>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Cookie write protection</w:t>
            </w:r>
          </w:p>
        </w:tc>
        <w:tc>
          <w:tcPr>
            <w:tcW w:type="dxa" w:w="6307"/>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A write without a valid CSRF header is rejected.</w:t>
            </w:r>
          </w:p>
        </w:tc>
      </w:tr>
      <w:tr>
        <w:trPr>
          <w:cantSplit/>
        </w:trPr>
        <w:tc>
          <w:tcPr>
            <w:tcW w:type="dxa" w:w="3528"/>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Image upload validation</w:t>
            </w:r>
          </w:p>
        </w:tc>
        <w:tc>
          <w:tcPr>
            <w:tcW w:type="dxa" w:w="6307"/>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Unsupported, mismatched and oversized files are rejected.</w:t>
            </w:r>
          </w:p>
        </w:tc>
      </w:tr>
      <w:tr>
        <w:trPr>
          <w:cantSplit/>
        </w:trPr>
        <w:tc>
          <w:tcPr>
            <w:tcW w:type="dxa" w:w="3528"/>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Gemini unavailable or invalid response</w:t>
            </w:r>
          </w:p>
        </w:tc>
        <w:tc>
          <w:tcPr>
            <w:tcW w:type="dxa" w:w="6307"/>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Local fallback produces a usable plan and source is identified.</w:t>
            </w:r>
          </w:p>
        </w:tc>
      </w:tr>
      <w:tr>
        <w:trPr>
          <w:cantSplit/>
        </w:trPr>
        <w:tc>
          <w:tcPr>
            <w:tcW w:type="dxa" w:w="3528"/>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Retailer links</w:t>
            </w:r>
          </w:p>
        </w:tc>
        <w:tc>
          <w:tcPr>
            <w:tcW w:type="dxa" w:w="6307"/>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Links use supported search pages and encode the intended query.</w:t>
            </w:r>
          </w:p>
        </w:tc>
      </w:tr>
    </w:tbl>
    <w:p>
      <w:pPr>
        <w:spacing w:after="20" w:line="144" w:lineRule="auto"/>
      </w:pPr>
    </w:p>
    <w:p>
      <w:pPr>
        <w:pStyle w:val="Heading1"/>
        <w:keepNext/>
      </w:pPr>
      <w:r>
        <w:t>Performance test plan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232"/>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Scenario</w:t>
            </w:r>
          </w:p>
        </w:tc>
        <w:tc>
          <w:tcPr>
            <w:tcW w:type="dxa" w:w="3960"/>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Measure</w:t>
            </w:r>
          </w:p>
        </w:tc>
        <w:tc>
          <w:tcPr>
            <w:tcW w:type="dxa" w:w="3643"/>
            <w:vAlign w:val="center"/>
            <w:shd w:fill="17365D"/>
            <w:tcMar>
              <w:top w:w="100" w:type="dxa"/>
              <w:start w:w="110" w:type="dxa"/>
              <w:bottom w:w="100" w:type="dxa"/>
              <w:end w:w="110" w:type="dxa"/>
            </w:tcMar>
            <w:tcBorders>
              <w:top w:val="single" w:sz="5" w:color="17365D"/>
              <w:left w:val="single" w:sz="5" w:color="17365D"/>
              <w:bottom w:val="single" w:sz="5" w:color="17365D"/>
              <w:right w:val="single" w:sz="5" w:color="17365D"/>
              <w:insideH w:val="single" w:sz="5" w:color="17365D"/>
              <w:insideV w:val="single" w:sz="5" w:color="17365D"/>
            </w:tcBorders>
          </w:tcPr>
          <w:p>
            <w:pPr>
              <w:spacing w:after="0"/>
            </w:pPr>
            <w:r>
              <w:rPr>
                <w:rFonts w:ascii="Arial" w:hAnsi="Arial" w:cs="Arial"/>
                <w:b/>
                <w:i w:val="0"/>
                <w:color w:val="FFFFFF"/>
                <w:sz w:val="18"/>
              </w:rPr>
              <w:t>Record</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Local planner baseline</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Page and plan response time without Gemini.</w:t>
            </w:r>
          </w:p>
        </w:tc>
        <w:tc>
          <w:tcPr>
            <w:tcW w:type="dxa" w:w="364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Median and 95th percentile.</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Concurrent use</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Response time and error rate at agreed user levels.</w:t>
            </w:r>
          </w:p>
        </w:tc>
        <w:tc>
          <w:tcPr>
            <w:tcW w:type="dxa" w:w="364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Concurrency, duration, throughput and failures.</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Gemini path</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Latency and fallback behavior during slow or failed requests.</w:t>
            </w:r>
          </w:p>
        </w:tc>
        <w:tc>
          <w:tcPr>
            <w:tcW w:type="dxa" w:w="364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Model, response time, timeout behavior and fallback count.</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Persistence</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History and save latency as records grow.</w:t>
            </w:r>
          </w:p>
        </w:tc>
        <w:tc>
          <w:tcPr>
            <w:tcW w:type="dxa" w:w="364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shd w:fill="F5F8FC"/>
          </w:tcPr>
          <w:p>
            <w:pPr>
              <w:spacing w:after="0" w:line="245" w:lineRule="auto"/>
            </w:pPr>
            <w:r>
              <w:rPr>
                <w:rFonts w:ascii="Arial" w:hAnsi="Arial" w:cs="Arial"/>
                <w:b w:val="0"/>
                <w:i w:val="0"/>
                <w:color w:val="202B3C"/>
                <w:sz w:val="17"/>
              </w:rPr>
              <w:t>Database size, operation time and lock/error events.</w:t>
            </w:r>
          </w:p>
        </w:tc>
      </w:tr>
      <w:tr>
        <w:trPr>
          <w:cantSplit/>
        </w:trPr>
        <w:tc>
          <w:tcPr>
            <w:tcW w:type="dxa" w:w="2232"/>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Image request</w:t>
            </w:r>
          </w:p>
        </w:tc>
        <w:tc>
          <w:tcPr>
            <w:tcW w:type="dxa" w:w="3960"/>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Validation and processing at the configured size limit.</w:t>
            </w:r>
          </w:p>
        </w:tc>
        <w:tc>
          <w:tcPr>
            <w:tcW w:type="dxa" w:w="3643"/>
            <w:vAlign w:val="top"/>
            <w:tcMar>
              <w:top w:w="90" w:type="dxa"/>
              <w:start w:w="110" w:type="dxa"/>
              <w:bottom w:w="90" w:type="dxa"/>
              <w:end w:w="110" w:type="dxa"/>
            </w:tcMar>
            <w:tcBorders>
              <w:top w:val="single" w:sz="5" w:color="D6E0EA"/>
              <w:left w:val="single" w:sz="5" w:color="D6E0EA"/>
              <w:bottom w:val="single" w:sz="5" w:color="D6E0EA"/>
              <w:right w:val="single" w:sz="5" w:color="D6E0EA"/>
              <w:insideH w:val="single" w:sz="5" w:color="D6E0EA"/>
              <w:insideV w:val="single" w:sz="5" w:color="D6E0EA"/>
            </w:tcBorders>
          </w:tcPr>
          <w:p>
            <w:pPr>
              <w:spacing w:after="0" w:line="245" w:lineRule="auto"/>
            </w:pPr>
            <w:r>
              <w:rPr>
                <w:rFonts w:ascii="Arial" w:hAnsi="Arial" w:cs="Arial"/>
                <w:b w:val="0"/>
                <w:i w:val="0"/>
                <w:color w:val="202B3C"/>
                <w:sz w:val="17"/>
              </w:rPr>
              <w:t>Accepted/rejected cases, memory observations and response time.</w:t>
            </w:r>
          </w:p>
        </w:tc>
      </w:tr>
    </w:tbl>
    <w:p>
      <w:pPr>
        <w:spacing w:after="20" w:line="144" w:lineRule="auto"/>
      </w:pPr>
    </w:p>
    <w:tbl>
      <w:tblPr>
        <w:tblW w:type="auto" w:w="0"/>
        <w:jc w:val="center"/>
        <w:tblLayout w:type="fixed"/>
        <w:tblLook w:firstColumn="1" w:firstRow="1" w:lastColumn="0" w:lastRow="0" w:noHBand="0" w:noVBand="1" w:val="04A0"/>
      </w:tblPr>
      <w:tblGrid>
        <w:gridCol w:w="9835"/>
      </w:tblGrid>
      <w:tr>
        <w:tc>
          <w:tcPr>
            <w:tcW w:type="dxa" w:w="9835"/>
            <w:shd w:fill="EAF2FC"/>
            <w:tcMar>
              <w:top w:w="120" w:type="dxa"/>
              <w:start w:w="150" w:type="dxa"/>
              <w:bottom w:w="120" w:type="dxa"/>
              <w:end w:w="150" w:type="dxa"/>
            </w:tcMar>
            <w:tcBorders>
              <w:top w:val="single" w:sz="5" w:color="C6D7EC"/>
              <w:left w:val="single" w:sz="5" w:color="C6D7EC"/>
              <w:bottom w:val="single" w:sz="5" w:color="C6D7EC"/>
              <w:right w:val="single" w:sz="5" w:color="C6D7EC"/>
              <w:insideH w:val="single" w:sz="5" w:color="C6D7EC"/>
              <w:insideV w:val="single" w:sz="5" w:color="C6D7EC"/>
            </w:tcBorders>
          </w:tcPr>
          <w:p>
            <w:pPr>
              <w:spacing w:after="40"/>
            </w:pPr>
            <w:r>
              <w:rPr>
                <w:rFonts w:ascii="Arial" w:hAnsi="Arial" w:cs="Arial"/>
                <w:b/>
                <w:i w:val="0"/>
                <w:color w:val="2F6DB5"/>
                <w:sz w:val="18"/>
              </w:rPr>
              <w:t>RESULT STATUS</w:t>
            </w:r>
          </w:p>
          <w:p>
            <w:pPr>
              <w:spacing w:after="0"/>
            </w:pPr>
            <w:r>
              <w:rPr>
                <w:rFonts w:ascii="Arial" w:hAnsi="Arial" w:cs="Arial"/>
                <w:b w:val="0"/>
                <w:i w:val="0"/>
                <w:color w:val="202B3C"/>
                <w:sz w:val="18"/>
              </w:rPr>
              <w:t>Performance targets and run results were not provided. Agree thresholds before execution, run the scenarios in a controlled environment and attach dated measurements before reporting pass or fail.</w:t>
            </w:r>
          </w:p>
        </w:tc>
      </w:tr>
    </w:tbl>
    <w:p>
      <w:pPr>
        <w:spacing w:after="20"/>
      </w:pPr>
    </w:p>
    <w:sectPr w:rsidR="00FC693F" w:rsidRPr="0006063C" w:rsidSect="00034616">
      <w:footerReference w:type="default" r:id="rId9"/>
      <w:pgSz w:w="11909" w:h="16834"/>
      <w:pgMar w:top="979" w:right="1037" w:bottom="979"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Arial" w:hAnsi="Arial" w:cs="Arial"/>
        <w:b w:val="0"/>
        <w:i w:val="0"/>
        <w:color w:val="607086"/>
        <w:sz w:val="16"/>
      </w:rPr>
      <w:t>PocketSmart AI   |   Project phase deliverable</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202B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6D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PocketSmart AI Phase 6 Project Testing</dc:title>
  <dc:subject>Quality checks, documented coverage and performance plan</dc:subject>
  <dc:creator>PocketSmart AI</dc:creator>
  <cp:keywords/>
  <dc:description>generated by python-docx</dc:description>
  <cp:lastModifiedBy/>
  <cp:revision>1</cp:revision>
  <dcterms:created xsi:type="dcterms:W3CDTF">2013-12-23T23:15:00Z</dcterms:created>
  <dcterms:modified xsi:type="dcterms:W3CDTF">2013-12-23T23:15:00Z</dcterms:modified>
  <cp:category/>
</cp:coreProperties>
</file>