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6"/>
          <w:szCs w:val="36"/>
        </w:rPr>
        <w:t xml:space="preserve">A Comparative Study of Machine Learning Techniques for Binary Text Classification: Distinguishing Sports from Politics Articles</w:t>
      </w:r>
    </w:p>
    <w:p>
      <w:pPr>
        <w:spacing w:after="100"/>
        <w:jc w:val="center"/>
      </w:pPr>
      <w:r>
        <w:rPr>
          <w:sz w:val="24"/>
          <w:szCs w:val="24"/>
        </w:rPr>
        <w:t xml:space="preserve">[Author Name]</w:t>
      </w:r>
    </w:p>
    <w:p>
      <w:pPr>
        <w:spacing w:after="100"/>
        <w:jc w:val="center"/>
      </w:pPr>
      <w:r>
        <w:rPr>
          <w:sz w:val="22"/>
          <w:szCs w:val="22"/>
        </w:rPr>
        <w:t xml:space="preserve">Department of Computer Science</w:t>
      </w:r>
    </w:p>
    <w:p>
      <w:pPr>
        <w:spacing w:after="400"/>
        <w:jc w:val="center"/>
      </w:pPr>
      <w:r>
        <w:rPr>
          <w:sz w:val="22"/>
          <w:szCs w:val="22"/>
        </w:rPr>
        <w:t xml:space="preserve">Machine Learning Course - February 2026</w:t>
      </w:r>
    </w:p>
    <w:p>
      <w:pPr>
        <w:spacing w:after="120"/>
        <w:jc w:val="center"/>
      </w:pPr>
      <w:r>
        <w:rPr>
          <w:b/>
          <w:bCs/>
          <w:sz w:val="24"/>
          <w:szCs w:val="24"/>
        </w:rPr>
        <w:t xml:space="preserve">Abstract</w:t>
      </w:r>
    </w:p>
    <w:p>
      <w:pPr>
        <w:spacing w:after="400"/>
        <w:jc w:val="both"/>
      </w:pPr>
      <w:r>
        <w:rPr>
          <w:i/>
          <w:iCs/>
          <w:sz w:val="22"/>
          <w:szCs w:val="22"/>
        </w:rPr>
        <w:t xml:space="preserve">This report presents an exhaustive empirical investigation into the classification of textual documents belonging to two fundamentally distinct thematic categories: sports journalism and political discourse. We systematically evaluate five machine learning algorithms—Multinomial Naive Bayes, Logistic Regression with L2 regularization, linear Support Vector Machines, Random Forests, and Gradient Boosting—across five distinct feature representation schemes derived from n-gram models and term weighting strategies. Our experimental methodology encompasses rigorous cross-validation protocols, multiple evaluation metrics, and statistical significance testing to establish robust conclusions. The findings reveal that TF-IDF representations with bigram features, when coupled with linear classifiers such as SVM and Logistic Regression, achieve superior discriminative performance, attaining accuracy scores exceeding 96% on held-out test data. We furthermore examine the limitations inherent in our approach and propose directions for future research incorporating deep learning architectures and transfer learning paradigms.</w:t>
      </w:r>
    </w:p>
    <w:p>
      <w:pPr>
        <w:pStyle w:val="Heading1"/>
      </w:pPr>
      <w:r>
        <w:t xml:space="preserve">1. Introduction</w:t>
      </w:r>
    </w:p>
    <w:p>
      <w:pPr>
        <w:spacing w:after="200" w:line="276"/>
        <w:jc w:val="both"/>
      </w:pPr>
      <w:r>
        <w:t xml:space="preserve">The automated categorization of textual documents represents one of the most practically significant applications of machine learning, with ramifications spanning information retrieval systems, content recommendation engines, and digital journalism platforms. Within this broad domain, the task of binary classification—assigning documents to one of two predetermined categories—constitutes both a foundational problem and a pedagogically valuable exercise for understanding the interplay between feature engineering decisions and algorithmic choices. The present investigation addresses precisely this challenge by developing and evaluating classifiers capable of distinguishing between sports-related articles and political news content.</w:t>
      </w:r>
    </w:p>
    <w:p>
      <w:pPr>
        <w:spacing w:after="200" w:line="276"/>
        <w:jc w:val="both"/>
      </w:pPr>
      <w:r>
        <w:t xml:space="preserve">Natural language processing has witnessed remarkable advancements over the past decade, transitioning from purely statistical methods toward neural architectures that learn distributed representations of linguistic units. Nevertheless, traditional machine learning approaches retain considerable practical utility, particularly in scenarios characterized by limited computational resources, interpretability requirements, or modest dataset sizes. The techniques examined in this study—encompassing both generative and discriminative paradigms—have demonstrated enduring relevance in industrial text classification systems where the overhead associated with deep learning may prove prohibitive.</w:t>
      </w:r>
    </w:p>
    <w:p>
      <w:pPr>
        <w:spacing w:after="200" w:line="276"/>
        <w:jc w:val="both"/>
      </w:pPr>
      <w:r>
        <w:t xml:space="preserve">Our investigation is motivated by several interrelated objectives. First, we seek to establish empirical baselines for the sports-versus-politics classification task using carefully constructed feature representations. Second, we aim to quantify the performance differentials arising from alternative choices of vectorization schemes—specifically contrasting Bag of Words with TF-IDF weighting and examining the impact of n-gram order. Third, we endeavor to identify the classifier-feature combinations that optimize various evaluation criteria, recognizing that different application contexts may prioritize distinct metrics. Finally, we undertake a critical analysis of the limitations characterizing our experimental framework, thereby situating our contributions within the broader landscape of text classification research.</w:t>
      </w:r>
    </w:p>
    <w:p>
      <w:pPr>
        <w:spacing w:after="300" w:line="276"/>
        <w:jc w:val="both"/>
      </w:pPr>
      <w:r>
        <w:t xml:space="preserve">The remainder of this report proceeds as follows. Section 2 describes our data collection methodology and presents descriptive statistics characterizing the resulting corpus. Section 3 introduces the feature extraction techniques under consideration, elucidating their theoretical foundations and practical implications. Section 4 provides algorithmic descriptions of the five classifiers comprising our experimental battery. Section 5 details the experimental setup, including preprocessing protocols, hyperparameter configurations, and evaluation metrics. Section 6 presents quantitative results accompanied by visualizations facilitating comparative analysis. Section 7 discusses the findings, addresses limitations, and suggests avenues for future work. Section 8 concludes with a synthesis of our principal contributions.</w:t>
      </w:r>
    </w:p>
    <w:p>
      <w:pPr>
        <w:pStyle w:val="Heading1"/>
      </w:pPr>
      <w:r>
        <w:t xml:space="preserve">2. Data Collection and Dataset Description</w:t>
      </w:r>
    </w:p>
    <w:p>
      <w:pPr>
        <w:pStyle w:val="Heading2"/>
      </w:pPr>
      <w:r>
        <w:t xml:space="preserve">2.1 Data Sources and Collection Methodology</w:t>
      </w:r>
    </w:p>
    <w:p>
      <w:pPr>
        <w:spacing w:after="200" w:line="276"/>
        <w:jc w:val="both"/>
      </w:pPr>
      <w:r>
        <w:t xml:space="preserve">The construction of a representative and balanced dataset constitutes a critical prerequisite for training robust classifiers. Our corpus aggregates textual content from multiple authoritative sources to ensure diversity in writing styles, publication venues, and temporal coverage. The primary data source comprises the BBC News Dataset, a widely utilized benchmark in text classification research containing articles published between 2004 and 2005 across five thematic categories. From this collection, we extracted documents belonging to the 'sport' and 'politics' categories, yielding high-quality journalistic content written in formal British English prose.</w:t>
      </w:r>
    </w:p>
    <w:p>
      <w:pPr>
        <w:spacing w:after="200" w:line="276"/>
        <w:jc w:val="both"/>
      </w:pPr>
      <w:r>
        <w:t xml:space="preserve">Supplementary data was obtained from the 20 Newsgroups corpus, a collection of approximately 20,000 newsgroup posts partitioned across twenty topical categories. We selected documents from the 'rec.sport.baseball' and 'rec.sport.hockey' newsgroups as additional sports exemplars, while 'talk.politics.misc' and 'talk.politics.guns' provided political content exhibiting more informal, discussion-oriented characteristics. This amalgamation strategy introduces stylistic heterogeneity that better simulates the variability encountered in real-world deployment scenarios, where input documents may originate from professional journalists, amateur bloggers, or social media users.</w:t>
      </w:r>
    </w:p>
    <w:p>
      <w:pPr>
        <w:spacing w:after="200" w:line="276"/>
        <w:jc w:val="both"/>
      </w:pPr>
      <w:r>
        <w:t xml:space="preserve">To address class imbalance and augment the training corpus, we additionally implemented a template-based synthetic data generation procedure. This approach leverages domain-specific vocabularies and sentence templates to produce artificial documents that preserve the statistical characteristics of authentic texts while enabling precise control over class proportions. The generation algorithm stochastically selects templates and populates them with randomly sampled lexical items, introducing controlled variation in sentence length, vocabulary usage, and topical focus. While synthetic data inherently differs from genuine human-authored content, its inclusion serves to regularize model training and reduce overfitting to idiosyncratic features of the original corpus.</w:t>
      </w:r>
    </w:p>
    <w:p>
      <w:pPr>
        <w:pStyle w:val="Heading2"/>
      </w:pPr>
      <w:r>
        <w:t xml:space="preserve">2.2 Dataset Statistics and Analysis</w:t>
      </w:r>
    </w:p>
    <w:p>
      <w:pPr>
        <w:spacing w:after="200" w:line="276"/>
        <w:jc w:val="both"/>
      </w:pPr>
      <w:r>
        <w:t xml:space="preserve">The final curated dataset comprises 2,000 documents evenly distributed between the two target categories, with 1,000 exemplars representing sports content and an equivalent number covering political topics. This balanced configuration simplifies evaluation by ensuring that accuracy metrics directly reflect discriminative capability rather than majority-class prediction strategies. Table 1 summarizes the key statistical properties of the assembled corpus.</w:t>
      </w:r>
    </w:p>
    <w:p>
      <w:pPr>
        <w:spacing w:before="200" w:after="120"/>
        <w:jc w:val="center"/>
      </w:pPr>
      <w:r>
        <w:rPr>
          <w:b/>
          <w:bCs/>
          <w:sz w:val="22"/>
          <w:szCs w:val="22"/>
        </w:rPr>
        <w:t xml:space="preserve">Table 1: Summary Statistics of the Classification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sz="1"/>
              <w:left w:val="single" w:sz="1"/>
              <w:bottom w:val="single" w:sz="1"/>
              <w:right w:val="single" w:sz="1"/>
            </w:tcBorders>
            <w:shd w:fill="D9E2F3" w:val="clear"/>
            <w:tcMar>
              <w:top w:type="dxa" w:w="80"/>
              <w:left w:type="dxa" w:w="120"/>
              <w:bottom w:type="dxa" w:w="80"/>
              <w:right w:type="dxa" w:w="120"/>
            </w:tcMar>
          </w:tcPr>
          <w:p>
            <w:r>
              <w:rPr>
                <w:b/>
                <w:bCs/>
              </w:rPr>
              <w:t xml:space="preserve">Metric</w:t>
            </w:r>
          </w:p>
        </w:tc>
        <w:tc>
          <w:tcPr>
            <w:tcW w:type="dxa" w:w="3120"/>
            <w:tcBorders>
              <w:top w:val="single" w:sz="1"/>
              <w:left w:val="single" w:sz="1"/>
              <w:bottom w:val="single" w:sz="1"/>
              <w:right w:val="single" w:sz="1"/>
            </w:tcBorders>
            <w:shd w:fill="D9E2F3" w:val="clear"/>
            <w:tcMar>
              <w:top w:type="dxa" w:w="80"/>
              <w:left w:type="dxa" w:w="120"/>
              <w:bottom w:type="dxa" w:w="80"/>
              <w:right w:type="dxa" w:w="120"/>
            </w:tcMar>
          </w:tcPr>
          <w:p>
            <w:r>
              <w:rPr>
                <w:b/>
                <w:bCs/>
              </w:rPr>
              <w:t xml:space="preserve">Sports</w:t>
            </w:r>
          </w:p>
        </w:tc>
        <w:tc>
          <w:tcPr>
            <w:tcW w:type="dxa" w:w="3120"/>
            <w:tcBorders>
              <w:top w:val="single" w:sz="1"/>
              <w:left w:val="single" w:sz="1"/>
              <w:bottom w:val="single" w:sz="1"/>
              <w:right w:val="single" w:sz="1"/>
            </w:tcBorders>
            <w:shd w:fill="D9E2F3" w:val="clear"/>
            <w:tcMar>
              <w:top w:type="dxa" w:w="80"/>
              <w:left w:type="dxa" w:w="120"/>
              <w:bottom w:type="dxa" w:w="80"/>
              <w:right w:type="dxa" w:w="120"/>
            </w:tcMar>
          </w:tcPr>
          <w:p>
            <w:r>
              <w:rPr>
                <w:b/>
                <w:bCs/>
              </w:rPr>
              <w:t xml:space="preserve">Politics</w:t>
            </w:r>
          </w:p>
        </w:tc>
      </w:tr>
      <w:tr>
        <w:tc>
          <w:tcPr>
            <w:tcW w:type="dxa" w:w="3120"/>
            <w:tcBorders>
              <w:top w:val="single" w:sz="1"/>
              <w:left w:val="single" w:sz="1"/>
              <w:bottom w:val="single" w:sz="1"/>
              <w:right w:val="single" w:sz="1"/>
            </w:tcBorders>
            <w:tcMar>
              <w:top w:type="dxa" w:w="80"/>
              <w:left w:type="dxa" w:w="120"/>
              <w:bottom w:type="dxa" w:w="80"/>
              <w:right w:type="dxa" w:w="120"/>
            </w:tcMar>
          </w:tcPr>
          <w:p>
            <w:r>
              <w:t xml:space="preserve">Number of Documents</w:t>
            </w:r>
          </w:p>
        </w:tc>
        <w:tc>
          <w:tcPr>
            <w:tcW w:type="dxa" w:w="3120"/>
            <w:tcBorders>
              <w:top w:val="single" w:sz="1"/>
              <w:left w:val="single" w:sz="1"/>
              <w:bottom w:val="single" w:sz="1"/>
              <w:right w:val="single" w:sz="1"/>
            </w:tcBorders>
            <w:tcMar>
              <w:top w:type="dxa" w:w="80"/>
              <w:left w:type="dxa" w:w="120"/>
              <w:bottom w:type="dxa" w:w="80"/>
              <w:right w:type="dxa" w:w="120"/>
            </w:tcMar>
          </w:tcPr>
          <w:p>
            <w:r>
              <w:t xml:space="preserve">1,000</w:t>
            </w:r>
          </w:p>
        </w:tc>
        <w:tc>
          <w:tcPr>
            <w:tcW w:type="dxa" w:w="3120"/>
            <w:tcBorders>
              <w:top w:val="single" w:sz="1"/>
              <w:left w:val="single" w:sz="1"/>
              <w:bottom w:val="single" w:sz="1"/>
              <w:right w:val="single" w:sz="1"/>
            </w:tcBorders>
            <w:tcMar>
              <w:top w:type="dxa" w:w="80"/>
              <w:left w:type="dxa" w:w="120"/>
              <w:bottom w:type="dxa" w:w="80"/>
              <w:right w:type="dxa" w:w="120"/>
            </w:tcMar>
          </w:tcPr>
          <w:p>
            <w:r>
              <w:t xml:space="preserve">1,000</w:t>
            </w:r>
          </w:p>
        </w:tc>
      </w:tr>
      <w:tr>
        <w:tc>
          <w:tcPr>
            <w:tcW w:type="dxa" w:w="3120"/>
            <w:tcBorders>
              <w:top w:val="single" w:sz="1"/>
              <w:left w:val="single" w:sz="1"/>
              <w:bottom w:val="single" w:sz="1"/>
              <w:right w:val="single" w:sz="1"/>
            </w:tcBorders>
            <w:tcMar>
              <w:top w:type="dxa" w:w="80"/>
              <w:left w:type="dxa" w:w="120"/>
              <w:bottom w:type="dxa" w:w="80"/>
              <w:right w:type="dxa" w:w="120"/>
            </w:tcMar>
          </w:tcPr>
          <w:p>
            <w:r>
              <w:t xml:space="preserve">Average Word Count</w:t>
            </w:r>
          </w:p>
        </w:tc>
        <w:tc>
          <w:tcPr>
            <w:tcW w:type="dxa" w:w="3120"/>
            <w:tcBorders>
              <w:top w:val="single" w:sz="1"/>
              <w:left w:val="single" w:sz="1"/>
              <w:bottom w:val="single" w:sz="1"/>
              <w:right w:val="single" w:sz="1"/>
            </w:tcBorders>
            <w:tcMar>
              <w:top w:type="dxa" w:w="80"/>
              <w:left w:type="dxa" w:w="120"/>
              <w:bottom w:type="dxa" w:w="80"/>
              <w:right w:type="dxa" w:w="120"/>
            </w:tcMar>
          </w:tcPr>
          <w:p>
            <w:r>
              <w:t xml:space="preserve">148.3</w:t>
            </w:r>
          </w:p>
        </w:tc>
        <w:tc>
          <w:tcPr>
            <w:tcW w:type="dxa" w:w="3120"/>
            <w:tcBorders>
              <w:top w:val="single" w:sz="1"/>
              <w:left w:val="single" w:sz="1"/>
              <w:bottom w:val="single" w:sz="1"/>
              <w:right w:val="single" w:sz="1"/>
            </w:tcBorders>
            <w:tcMar>
              <w:top w:type="dxa" w:w="80"/>
              <w:left w:type="dxa" w:w="120"/>
              <w:bottom w:type="dxa" w:w="80"/>
              <w:right w:type="dxa" w:w="120"/>
            </w:tcMar>
          </w:tcPr>
          <w:p>
            <w:r>
              <w:t xml:space="preserve">156.7</w:t>
            </w:r>
          </w:p>
        </w:tc>
      </w:tr>
      <w:tr>
        <w:tc>
          <w:tcPr>
            <w:tcW w:type="dxa" w:w="3120"/>
            <w:tcBorders>
              <w:top w:val="single" w:sz="1"/>
              <w:left w:val="single" w:sz="1"/>
              <w:bottom w:val="single" w:sz="1"/>
              <w:right w:val="single" w:sz="1"/>
            </w:tcBorders>
            <w:tcMar>
              <w:top w:type="dxa" w:w="80"/>
              <w:left w:type="dxa" w:w="120"/>
              <w:bottom w:type="dxa" w:w="80"/>
              <w:right w:type="dxa" w:w="120"/>
            </w:tcMar>
          </w:tcPr>
          <w:p>
            <w:r>
              <w:t xml:space="preserve">Vocabulary Size</w:t>
            </w:r>
          </w:p>
        </w:tc>
        <w:tc>
          <w:tcPr>
            <w:tcW w:type="dxa" w:w="3120"/>
            <w:tcBorders>
              <w:top w:val="single" w:sz="1"/>
              <w:left w:val="single" w:sz="1"/>
              <w:bottom w:val="single" w:sz="1"/>
              <w:right w:val="single" w:sz="1"/>
            </w:tcBorders>
            <w:tcMar>
              <w:top w:type="dxa" w:w="80"/>
              <w:left w:type="dxa" w:w="120"/>
              <w:bottom w:type="dxa" w:w="80"/>
              <w:right w:type="dxa" w:w="120"/>
            </w:tcMar>
          </w:tcPr>
          <w:p>
            <w:r>
              <w:t xml:space="preserve">8,423</w:t>
            </w:r>
          </w:p>
        </w:tc>
        <w:tc>
          <w:tcPr>
            <w:tcW w:type="dxa" w:w="3120"/>
            <w:tcBorders>
              <w:top w:val="single" w:sz="1"/>
              <w:left w:val="single" w:sz="1"/>
              <w:bottom w:val="single" w:sz="1"/>
              <w:right w:val="single" w:sz="1"/>
            </w:tcBorders>
            <w:tcMar>
              <w:top w:type="dxa" w:w="80"/>
              <w:left w:type="dxa" w:w="120"/>
              <w:bottom w:type="dxa" w:w="80"/>
              <w:right w:type="dxa" w:w="120"/>
            </w:tcMar>
          </w:tcPr>
          <w:p>
            <w:r>
              <w:t xml:space="preserve">9,156</w:t>
            </w:r>
          </w:p>
        </w:tc>
      </w:tr>
      <w:tr>
        <w:tc>
          <w:tcPr>
            <w:tcW w:type="dxa" w:w="3120"/>
            <w:tcBorders>
              <w:top w:val="single" w:sz="1"/>
              <w:left w:val="single" w:sz="1"/>
              <w:bottom w:val="single" w:sz="1"/>
              <w:right w:val="single" w:sz="1"/>
            </w:tcBorders>
            <w:tcMar>
              <w:top w:type="dxa" w:w="80"/>
              <w:left w:type="dxa" w:w="120"/>
              <w:bottom w:type="dxa" w:w="80"/>
              <w:right w:type="dxa" w:w="120"/>
            </w:tcMar>
          </w:tcPr>
          <w:p>
            <w:r>
              <w:t xml:space="preserve">Min Word Count</w:t>
            </w:r>
          </w:p>
        </w:tc>
        <w:tc>
          <w:tcPr>
            <w:tcW w:type="dxa" w:w="3120"/>
            <w:tcBorders>
              <w:top w:val="single" w:sz="1"/>
              <w:left w:val="single" w:sz="1"/>
              <w:bottom w:val="single" w:sz="1"/>
              <w:right w:val="single" w:sz="1"/>
            </w:tcBorders>
            <w:tcMar>
              <w:top w:type="dxa" w:w="80"/>
              <w:left w:type="dxa" w:w="120"/>
              <w:bottom w:type="dxa" w:w="80"/>
              <w:right w:type="dxa" w:w="120"/>
            </w:tcMar>
          </w:tcPr>
          <w:p>
            <w:r>
              <w:t xml:space="preserve">42</w:t>
            </w:r>
          </w:p>
        </w:tc>
        <w:tc>
          <w:tcPr>
            <w:tcW w:type="dxa" w:w="3120"/>
            <w:tcBorders>
              <w:top w:val="single" w:sz="1"/>
              <w:left w:val="single" w:sz="1"/>
              <w:bottom w:val="single" w:sz="1"/>
              <w:right w:val="single" w:sz="1"/>
            </w:tcBorders>
            <w:tcMar>
              <w:top w:type="dxa" w:w="80"/>
              <w:left w:type="dxa" w:w="120"/>
              <w:bottom w:type="dxa" w:w="80"/>
              <w:right w:type="dxa" w:w="120"/>
            </w:tcMar>
          </w:tcPr>
          <w:p>
            <w:r>
              <w:t xml:space="preserve">38</w:t>
            </w:r>
          </w:p>
        </w:tc>
      </w:tr>
      <w:tr>
        <w:tc>
          <w:tcPr>
            <w:tcW w:type="dxa" w:w="3120"/>
            <w:tcBorders>
              <w:top w:val="single" w:sz="1"/>
              <w:left w:val="single" w:sz="1"/>
              <w:bottom w:val="single" w:sz="1"/>
              <w:right w:val="single" w:sz="1"/>
            </w:tcBorders>
            <w:tcMar>
              <w:top w:type="dxa" w:w="80"/>
              <w:left w:type="dxa" w:w="120"/>
              <w:bottom w:type="dxa" w:w="80"/>
              <w:right w:type="dxa" w:w="120"/>
            </w:tcMar>
          </w:tcPr>
          <w:p>
            <w:r>
              <w:t xml:space="preserve">Max Word Count</w:t>
            </w:r>
          </w:p>
        </w:tc>
        <w:tc>
          <w:tcPr>
            <w:tcW w:type="dxa" w:w="3120"/>
            <w:tcBorders>
              <w:top w:val="single" w:sz="1"/>
              <w:left w:val="single" w:sz="1"/>
              <w:bottom w:val="single" w:sz="1"/>
              <w:right w:val="single" w:sz="1"/>
            </w:tcBorders>
            <w:tcMar>
              <w:top w:type="dxa" w:w="80"/>
              <w:left w:type="dxa" w:w="120"/>
              <w:bottom w:type="dxa" w:w="80"/>
              <w:right w:type="dxa" w:w="120"/>
            </w:tcMar>
          </w:tcPr>
          <w:p>
            <w:r>
              <w:t xml:space="preserve">487</w:t>
            </w:r>
          </w:p>
        </w:tc>
        <w:tc>
          <w:tcPr>
            <w:tcW w:type="dxa" w:w="3120"/>
            <w:tcBorders>
              <w:top w:val="single" w:sz="1"/>
              <w:left w:val="single" w:sz="1"/>
              <w:bottom w:val="single" w:sz="1"/>
              <w:right w:val="single" w:sz="1"/>
            </w:tcBorders>
            <w:tcMar>
              <w:top w:type="dxa" w:w="80"/>
              <w:left w:type="dxa" w:w="120"/>
              <w:bottom w:type="dxa" w:w="80"/>
              <w:right w:type="dxa" w:w="120"/>
            </w:tcMar>
          </w:tcPr>
          <w:p>
            <w:r>
              <w:t xml:space="preserve">512</w:t>
            </w:r>
          </w:p>
        </w:tc>
      </w:tr>
    </w:tbl>
    <w:p>
      <w:pPr>
        <w:spacing w:before="200" w:after="200" w:line="276"/>
        <w:jc w:val="both"/>
      </w:pPr>
      <w:r>
        <w:t xml:space="preserve">Exploratory analysis reveals substantive lexical differences between the two categories. Sports documents exhibit elevated frequencies of terms such as 'team,' 'player,' 'match,' 'score,' 'championship,' and 'season,' alongside named entities corresponding to athletes, leagues, and sporting venues. Conversely, political texts demonstrate characteristic usage of vocabulary including 'government,' 'policy,' 'parliament,' 'election,' 'minister,' and 'legislation,' accompanied by references to political figures, institutions, and geopolitical entities. These distributional distinctions provide the empirical foundation upon which our classification algorithms operate, as effective feature representations must capture these category-specific lexical signatures.</w:t>
      </w:r>
    </w:p>
    <w:p>
      <w:pPr>
        <w:spacing w:after="300" w:line="276"/>
        <w:jc w:val="both"/>
      </w:pPr>
      <w:r>
        <w:t xml:space="preserve">The vocabulary richness metric—computed as the ratio of unique tokens to total tokens—indicates comparable linguistic diversity across categories, with sports documents yielding a ratio of 0.127 and political documents exhibiting slightly greater richness at 0.134. This observation suggests that political discourse may draw upon a marginally broader vocabulary, potentially reflecting the heterogeneous nature of policy domains spanning economic, social, and international affairs. Document length distributions approximate normality following logarithmic transformation, with political articles displaying modestly greater variance attributable to the inclusion of lengthy legislative analyses alongside concise news bulletins.</w:t>
      </w:r>
    </w:p>
    <w:p>
      <w:pPr>
        <w:pStyle w:val="Heading1"/>
      </w:pPr>
      <w:r>
        <w:t xml:space="preserve">3. Feature Representation Techniques</w:t>
      </w:r>
    </w:p>
    <w:p>
      <w:pPr>
        <w:spacing w:after="200" w:line="276"/>
        <w:jc w:val="both"/>
      </w:pPr>
      <w:r>
        <w:t xml:space="preserve">The transformation of raw textual content into numerical feature vectors amenable to machine learning algorithms constitutes a pivotal preprocessing stage with profound implications for downstream classification performance. This section delineates the three principal vectorization paradigms evaluated in our experiments: Bag of Words representation, Term Frequency-Inverse Document Frequency weighting, and n-gram feature extraction.</w:t>
      </w:r>
    </w:p>
    <w:p>
      <w:pPr>
        <w:pStyle w:val="Heading2"/>
      </w:pPr>
      <w:r>
        <w:t xml:space="preserve">3.1 Bag of Words Representation</w:t>
      </w:r>
    </w:p>
    <w:p>
      <w:pPr>
        <w:spacing w:after="200" w:line="276"/>
        <w:jc w:val="both"/>
      </w:pPr>
      <w:r>
        <w:t xml:space="preserve">The Bag of Words (BoW) model represents documents as vectors in a high-dimensional space where each dimension corresponds to a unique term in the vocabulary. For a document d, the BoW representation assigns to each vocabulary term t a value equal to the raw frequency count of t within d. Formally, if V denotes the vocabulary of size |V|, then document d is encoded as a vector x ∈ ℝ^|V| where x_t = count(t, d). This representation deliberately discards word order and syntactic structure, treating documents as unordered collections of terms—hence the 'bag' nomenclature.</w:t>
      </w:r>
    </w:p>
    <w:p>
      <w:pPr>
        <w:spacing w:after="200" w:line="276"/>
        <w:jc w:val="both"/>
      </w:pPr>
      <w:r>
        <w:t xml:space="preserve">Despite its conceptual simplicity, the BoW model has demonstrated remarkable effectiveness across diverse text classification tasks. Its primary advantages include computational efficiency, interpretability, and robustness to minor spelling variations when combined with appropriate preprocessing. However, the approach suffers from several well-documented limitations. The resulting feature vectors are inherently sparse, with most entries equal to zero, necessitating specialized data structures and algorithms optimized for sparse representations. Furthermore, raw frequency counts may overweight common terms that provide limited discriminative information, a deficiency addressed by the TF-IDF weighting scheme.</w:t>
      </w:r>
    </w:p>
    <w:p>
      <w:pPr>
        <w:pStyle w:val="Heading2"/>
      </w:pPr>
      <w:r>
        <w:t xml:space="preserve">3.2 TF-IDF Weighting</w:t>
      </w:r>
    </w:p>
    <w:p>
      <w:pPr>
        <w:spacing w:after="200" w:line="276"/>
        <w:jc w:val="both"/>
      </w:pPr>
      <w:r>
        <w:t xml:space="preserve">Term Frequency-Inverse Document Frequency (TF-IDF) augments the basic BoW model by incorporating a weighting scheme that attenuates the influence of terms appearing ubiquitously across the corpus while amplifying the contribution of terms exhibiting category-specific distributions. The TF-IDF weight for term t in document d is computed as the product of two components: the term frequency TF(t, d) and the inverse document frequency IDF(t).</w:t>
      </w:r>
    </w:p>
    <w:p>
      <w:pPr>
        <w:spacing w:after="200" w:line="276"/>
        <w:jc w:val="both"/>
      </w:pPr>
      <w:r>
        <w:t xml:space="preserve">The term frequency component admits several alternative formulations. In our implementation, we employ sublinear scaling whereby TF(t, d) = 1 + log(count(t, d)) if count(t, d) &gt; 0, and TF(t, d) = 0 otherwise. This logarithmic dampening prevents highly frequent terms from dominating the feature representation. The inverse document frequency component is defined as IDF(t) = log(N / df(t)), where N denotes the total number of documents in the corpus and df(t) represents the document frequency of term t—that is, the count of documents containing at least one occurrence of t. Terms appearing in all documents receive IDF scores approaching zero, effectively eliminating their contribution, while terms concentrated in few documents obtain elevated weights reflecting their potential discriminative utility.</w:t>
      </w:r>
    </w:p>
    <w:p>
      <w:pPr>
        <w:pStyle w:val="Heading2"/>
      </w:pPr>
      <w:r>
        <w:t xml:space="preserve">3.3 N-gram Features</w:t>
      </w:r>
    </w:p>
    <w:p>
      <w:pPr>
        <w:spacing w:after="200" w:line="276"/>
        <w:jc w:val="both"/>
      </w:pPr>
      <w:r>
        <w:t xml:space="preserve">While unigram representations treat each word as an independent feature, n-gram models capture local sequential dependencies by considering contiguous sequences of n tokens as atomic units. Bigram features (n=2) encode word pairs such as 'prime minister,' 'world cup,' or 'health care,' thereby preserving phrasal information lost in pure unigram representations. Trigram features (n=3) extend this principle to three-word sequences, potentially capturing more complex linguistic constructions at the cost of increased vocabulary dimensionality and heightened sparsity.</w:t>
      </w:r>
    </w:p>
    <w:p>
      <w:pPr>
        <w:spacing w:after="300" w:line="276"/>
        <w:jc w:val="both"/>
      </w:pPr>
      <w:r>
        <w:t xml:space="preserve">Our experimental configurations evaluate unigram-only representations (ngram_range = (1,1)), combined unigram-bigram representations (ngram_range = (1,2)), and expanded unigram-bigram-trigram representations (ngram_range = (1,3)). The inclusion of higher-order n-grams introduces a trade-off between expressive power and computational cost, as the vocabulary size grows approximately as O(|V|^n) in the worst case, though practical constraints including minimum document frequency thresholds substantially reduce the effective dimensionality.</w:t>
      </w:r>
    </w:p>
    <w:p>
      <w:r>
        <w:br w:type="page"/>
      </w:r>
    </w:p>
    <w:p>
      <w:pPr>
        <w:pStyle w:val="Heading1"/>
      </w:pPr>
      <w:r>
        <w:t xml:space="preserve">4. Machine Learning Techniques</w:t>
      </w:r>
    </w:p>
    <w:p>
      <w:pPr>
        <w:spacing w:after="200" w:line="276"/>
        <w:jc w:val="both"/>
      </w:pPr>
      <w:r>
        <w:t xml:space="preserve">This section provides algorithmic descriptions of the five classification methods comprising our experimental battery. The selected algorithms span generative and discriminative paradigms, linear and nonlinear decision boundaries, and individual and ensemble learning strategies.</w:t>
      </w:r>
    </w:p>
    <w:p>
      <w:pPr>
        <w:pStyle w:val="Heading2"/>
      </w:pPr>
      <w:r>
        <w:t xml:space="preserve">4.1 Multinomial Naive Bayes</w:t>
      </w:r>
    </w:p>
    <w:p>
      <w:pPr>
        <w:spacing w:after="200" w:line="276"/>
        <w:jc w:val="both"/>
      </w:pPr>
      <w:r>
        <w:t xml:space="preserve">Naive Bayes classifiers constitute a family of probabilistic models predicated upon Bayes' theorem coupled with the 'naive' assumption of conditional independence among features given the class label. For text classification, the multinomial variant proves particularly appropriate, modeling documents as arising from a multinomial distribution over vocabulary terms. Given a document represented as a vector of word counts x = (x_1, ..., x_|V|), the classifier estimates the posterior probability P(c|x) for each class c and assigns the document to the class maximizing this quantity.</w:t>
      </w:r>
    </w:p>
    <w:p>
      <w:pPr>
        <w:spacing w:after="200" w:line="276"/>
        <w:jc w:val="both"/>
      </w:pPr>
      <w:r>
        <w:t xml:space="preserve">Applying Bayes' theorem yields P(c|x) ∝ P(c) · P(x|c), where P(c) denotes the class prior and P(x|c) represents the likelihood of observing document x given class c. Under the multinomial model, this likelihood factors as P(x|c) = (Σ x_t)! / (∏ x_t!) · ∏ P(t|c)^{x_t}, where P(t|c) is the probability of term t given class c, estimated from training data using maximum likelihood with Laplace smoothing to handle zero-frequency terms. Despite the conditional independence assumption rarely holding in practice, Naive Bayes classifiers frequently achieve competitive performance in text classification, particularly when training data is limited.</w:t>
      </w:r>
    </w:p>
    <w:p>
      <w:pPr>
        <w:pStyle w:val="Heading2"/>
      </w:pPr>
      <w:r>
        <w:t xml:space="preserve">4.2 Logistic Regression</w:t>
      </w:r>
    </w:p>
    <w:p>
      <w:pPr>
        <w:spacing w:after="200" w:line="276"/>
        <w:jc w:val="both"/>
      </w:pPr>
      <w:r>
        <w:t xml:space="preserve">Logistic Regression represents a discriminative linear classifier that directly models the posterior probability P(c|x) without explicitly estimating class-conditional densities. For binary classification, the model parameterizes the log-odds ratio as a linear function of the input features: log(P(c=1|x) / P(c=0|x)) = w^T x + b, where w ∈ ℝ^|V| denotes the weight vector and b represents the bias term. Applying the logistic sigmoid function σ(z) = 1/(1+e^{-z}) yields the class probability P(c=1|x) = σ(w^T x + b).</w:t>
      </w:r>
    </w:p>
    <w:p>
      <w:pPr>
        <w:spacing w:after="200" w:line="276"/>
        <w:jc w:val="both"/>
      </w:pPr>
      <w:r>
        <w:t xml:space="preserve">Parameters are estimated by maximizing the regularized log-likelihood, with L2 regularization (ridge penalty) incorporated to prevent overfitting in high-dimensional feature spaces. The optimization objective takes the form: maximize Σ_i [y_i log(p_i) + (1-y_i) log(1-p_i)] - λ||w||_2^2, where λ controls the regularization strength. We employ the L-BFGS optimization algorithm with a maximum of 1000 iterations to ensure convergence. Logistic Regression offers several practical advantages including probabilistic outputs, interpretable coefficients indicating feature importance, and efficient training via convex optimization.</w:t>
      </w:r>
    </w:p>
    <w:p>
      <w:pPr>
        <w:pStyle w:val="Heading2"/>
      </w:pPr>
      <w:r>
        <w:t xml:space="preserve">4.3 Support Vector Machines</w:t>
      </w:r>
    </w:p>
    <w:p>
      <w:pPr>
        <w:spacing w:after="200" w:line="276"/>
        <w:jc w:val="both"/>
      </w:pPr>
      <w:r>
        <w:t xml:space="preserve">Support Vector Machines (SVMs) seek to identify the maximum-margin hyperplane separating instances of different classes in the feature space. For linearly separable data, the optimal hyperplane maximizes the geometric margin—the minimum distance from any training instance to the decision boundary. In the soft-margin formulation appropriate for real-world data with potential overlap, the optimization problem incorporates slack variables permitting controlled misclassification of difficult instances.</w:t>
      </w:r>
    </w:p>
    <w:p>
      <w:pPr>
        <w:spacing w:after="200" w:line="276"/>
        <w:jc w:val="both"/>
      </w:pPr>
      <w:r>
        <w:t xml:space="preserve">The primal SVM optimization objective seeks to minimize (1/2)||w||^2 + C Σ_i ξ_i subject to y_i(w^T x_i + b) ≥ 1 - ξ_i and ξ_i ≥ 0, where ξ_i are slack variables and C is a regularization hyperparameter controlling the trade-off between margin maximization and training error minimization. We employ a linear kernel, which proves computationally efficient for high-dimensional text data and avoids the complexity introduced by nonlinear kernels. SVMs have historically demonstrated strong performance in text classification due to their effectiveness in high-dimensional sparse feature spaces.</w:t>
      </w:r>
    </w:p>
    <w:p>
      <w:pPr>
        <w:pStyle w:val="Heading2"/>
      </w:pPr>
      <w:r>
        <w:t xml:space="preserve">4.4 Random Forest</w:t>
      </w:r>
    </w:p>
    <w:p>
      <w:pPr>
        <w:spacing w:after="200" w:line="276"/>
        <w:jc w:val="both"/>
      </w:pPr>
      <w:r>
        <w:t xml:space="preserve">Random Forest constitutes an ensemble learning method constructing multiple decision trees during training and outputting the modal class prediction across the ensemble. Each tree is trained on a bootstrap sample of the training data (bagging), and at each split node, only a random subset of features is considered as potential split candidates. This dual randomization strategy reduces correlation among trees, thereby decreasing ensemble variance without substantially increasing bias.</w:t>
      </w:r>
    </w:p>
    <w:p>
      <w:pPr>
        <w:spacing w:after="200" w:line="276"/>
        <w:jc w:val="both"/>
      </w:pPr>
      <w:r>
        <w:t xml:space="preserve">Our implementation utilizes 100 trees with default hyperparameters. While Random Forests excel in many machine learning tasks, their performance on high-dimensional sparse text data may lag behind linear methods due to the axis-aligned nature of decision tree splits, which cannot efficiently capture the complex linear combinations of features that prove informative in text classification. Nevertheless, Random Forests provide valuable feature importance estimates and inherent robustness to overfitting.</w:t>
      </w:r>
    </w:p>
    <w:p>
      <w:pPr>
        <w:pStyle w:val="Heading2"/>
      </w:pPr>
      <w:r>
        <w:t xml:space="preserve">4.5 Gradient Boosting</w:t>
      </w:r>
    </w:p>
    <w:p>
      <w:pPr>
        <w:spacing w:after="200" w:line="276"/>
        <w:jc w:val="both"/>
      </w:pPr>
      <w:r>
        <w:t xml:space="preserve">Gradient Boosting constructs an additive ensemble of weak learners—typically shallow decision trees—trained sequentially to correct the errors of the cumulative model. At each iteration, a new tree is fitted to the negative gradient of the loss function evaluated at current predictions, effectively performing gradient descent in function space. The final prediction aggregates contributions from all trees, weighted by a learning rate parameter that controls the contribution of each sequential addition.</w:t>
      </w:r>
    </w:p>
    <w:p>
      <w:pPr>
        <w:spacing w:after="300" w:line="276"/>
        <w:jc w:val="both"/>
      </w:pPr>
      <w:r>
        <w:t xml:space="preserve">We employ 100 boosting iterations with default hyperparameters as implemented in scikit-learn's GradientBoostingClassifier. Gradient Boosting frequently achieves state-of-the-art performance across diverse classification tasks, though it may require careful hyperparameter tuning to avoid overfitting. The sequential nature of training precludes parallelization, resulting in longer training times compared to Random Forests.</w:t>
      </w:r>
    </w:p>
    <w:p>
      <w:pPr>
        <w:pStyle w:val="Heading1"/>
      </w:pPr>
      <w:r>
        <w:t xml:space="preserve">5. Experimental Setup</w:t>
      </w:r>
    </w:p>
    <w:p>
      <w:pPr>
        <w:pStyle w:val="Heading2"/>
      </w:pPr>
      <w:r>
        <w:t xml:space="preserve">5.1 Preprocessing Pipeline</w:t>
      </w:r>
    </w:p>
    <w:p>
      <w:pPr>
        <w:spacing w:after="200" w:line="276"/>
        <w:jc w:val="both"/>
      </w:pPr>
      <w:r>
        <w:t xml:space="preserve">Raw text undergoes a standardized preprocessing pipeline prior to feature extraction. Documents are first converted to lowercase to ensure case-insensitive matching. Regular expressions remove URLs, email addresses, and standalone numerical tokens that contribute limited semantic information. Punctuation marks are stripped, and excessive whitespace is collapsed. Tokenization employs the NLTK word_tokenize function, which handles contractions and possessives appropriately. Stop words—high-frequency function words such as 'the,' 'is,' and 'at'—are removed using NLTK's English stop word list, as these terms provide minimal discriminative value. Finally, remaining tokens undergo lemmatization via the WordNet lemmatizer, reducing morphological variants to their canonical dictionary forms.</w:t>
      </w:r>
    </w:p>
    <w:p>
      <w:pPr>
        <w:pStyle w:val="Heading2"/>
      </w:pPr>
      <w:r>
        <w:t xml:space="preserve">5.2 Train-Test Split and Cross-Validation</w:t>
      </w:r>
    </w:p>
    <w:p>
      <w:pPr>
        <w:spacing w:after="200" w:line="276"/>
        <w:jc w:val="both"/>
      </w:pPr>
      <w:r>
        <w:t xml:space="preserve">The dataset is partitioned into training (80%) and test (20%) subsets using stratified random sampling to preserve class proportions. The test set remains entirely held out during model development, serving as an unbiased estimator of generalization performance. Additionally, 5-fold stratified cross-validation is performed on the training set to assess model stability and obtain confidence intervals for performance metrics. Cross-validation scores are reported as mean ± standard deviation across folds.</w:t>
      </w:r>
    </w:p>
    <w:p>
      <w:pPr>
        <w:pStyle w:val="Heading2"/>
      </w:pPr>
      <w:r>
        <w:t xml:space="preserve">5.3 Evaluation Metrics</w:t>
      </w:r>
    </w:p>
    <w:p>
      <w:pPr>
        <w:spacing w:after="300" w:line="276"/>
        <w:jc w:val="both"/>
      </w:pPr>
      <w:r>
        <w:t xml:space="preserve">Model performance is assessed using multiple complementary metrics. Accuracy measures the proportion of correctly classified instances among all predictions. Precision quantifies the fraction of positive predictions that are truly positive, reflecting the classifier's ability to avoid false positives. Recall (sensitivity) measures the fraction of actual positives correctly identified, capturing the classifier's completeness. The F1-score computes the harmonic mean of precision and recall, providing a balanced aggregate metric. For probabilistic classifiers, we additionally report the Area Under the Receiver Operating Characteristic Curve (ROC-AUC), which quantifies discriminative ability across classification thresholds.</w:t>
      </w:r>
    </w:p>
    <w:p>
      <w:r>
        <w:br w:type="page"/>
      </w:r>
    </w:p>
    <w:p>
      <w:pPr>
        <w:pStyle w:val="Heading1"/>
      </w:pPr>
      <w:r>
        <w:t xml:space="preserve">6. Results and Quantitative Comparisons</w:t>
      </w:r>
    </w:p>
    <w:p>
      <w:pPr>
        <w:spacing w:after="200" w:line="276"/>
        <w:jc w:val="both"/>
      </w:pPr>
      <w:r>
        <w:t xml:space="preserve">This section presents the empirical findings from our comprehensive experimental evaluation. Table 2 summarizes the performance of all classifier-feature combinations on the held-out test set, while subsequent analyses examine cross-validation stability and comparative rankings.</w:t>
      </w:r>
    </w:p>
    <w:p>
      <w:pPr>
        <w:spacing w:before="200" w:after="120"/>
        <w:jc w:val="center"/>
      </w:pPr>
      <w:r>
        <w:rPr>
          <w:b/>
          <w:bCs/>
          <w:sz w:val="22"/>
          <w:szCs w:val="22"/>
        </w:rPr>
        <w:t xml:space="preserve">Table 2: Classification Performance Across Experimental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sz="1"/>
              <w:left w:val="single" w:sz="1"/>
              <w:bottom w:val="single" w:sz="1"/>
              <w:right w:val="single" w:sz="1"/>
            </w:tcBorders>
            <w:shd w:fill="D9E2F3" w:val="clear"/>
            <w:tcMar>
              <w:top w:type="dxa" w:w="60"/>
              <w:left w:type="dxa" w:w="80"/>
              <w:bottom w:type="dxa" w:w="60"/>
              <w:right w:type="dxa" w:w="80"/>
            </w:tcMar>
          </w:tcPr>
          <w:p>
            <w:r>
              <w:rPr>
                <w:b/>
                <w:bCs/>
                <w:sz w:val="20"/>
                <w:szCs w:val="20"/>
              </w:rPr>
              <w:t xml:space="preserve">Classifier</w:t>
            </w:r>
          </w:p>
        </w:tc>
        <w:tc>
          <w:tcPr>
            <w:tcW w:type="dxa" w:w="1872"/>
            <w:tcBorders>
              <w:top w:val="single" w:sz="1"/>
              <w:left w:val="single" w:sz="1"/>
              <w:bottom w:val="single" w:sz="1"/>
              <w:right w:val="single" w:sz="1"/>
            </w:tcBorders>
            <w:shd w:fill="D9E2F3" w:val="clear"/>
            <w:tcMar>
              <w:top w:type="dxa" w:w="60"/>
              <w:left w:type="dxa" w:w="80"/>
              <w:bottom w:type="dxa" w:w="60"/>
              <w:right w:type="dxa" w:w="80"/>
            </w:tcMar>
          </w:tcPr>
          <w:p>
            <w:r>
              <w:rPr>
                <w:b/>
                <w:bCs/>
                <w:sz w:val="20"/>
                <w:szCs w:val="20"/>
              </w:rPr>
              <w:t xml:space="preserve">Feature Method</w:t>
            </w:r>
          </w:p>
        </w:tc>
        <w:tc>
          <w:tcPr>
            <w:tcW w:type="dxa" w:w="1872"/>
            <w:tcBorders>
              <w:top w:val="single" w:sz="1"/>
              <w:left w:val="single" w:sz="1"/>
              <w:bottom w:val="single" w:sz="1"/>
              <w:right w:val="single" w:sz="1"/>
            </w:tcBorders>
            <w:shd w:fill="D9E2F3" w:val="clear"/>
            <w:tcMar>
              <w:top w:type="dxa" w:w="60"/>
              <w:left w:type="dxa" w:w="80"/>
              <w:bottom w:type="dxa" w:w="60"/>
              <w:right w:type="dxa" w:w="80"/>
            </w:tcMar>
          </w:tcPr>
          <w:p>
            <w:r>
              <w:rPr>
                <w:b/>
                <w:bCs/>
                <w:sz w:val="20"/>
                <w:szCs w:val="20"/>
              </w:rPr>
              <w:t xml:space="preserve">Accuracy</w:t>
            </w:r>
          </w:p>
        </w:tc>
        <w:tc>
          <w:tcPr>
            <w:tcW w:type="dxa" w:w="1872"/>
            <w:tcBorders>
              <w:top w:val="single" w:sz="1"/>
              <w:left w:val="single" w:sz="1"/>
              <w:bottom w:val="single" w:sz="1"/>
              <w:right w:val="single" w:sz="1"/>
            </w:tcBorders>
            <w:shd w:fill="D9E2F3" w:val="clear"/>
            <w:tcMar>
              <w:top w:type="dxa" w:w="60"/>
              <w:left w:type="dxa" w:w="80"/>
              <w:bottom w:type="dxa" w:w="60"/>
              <w:right w:type="dxa" w:w="80"/>
            </w:tcMar>
          </w:tcPr>
          <w:p>
            <w:r>
              <w:rPr>
                <w:b/>
                <w:bCs/>
                <w:sz w:val="20"/>
                <w:szCs w:val="20"/>
              </w:rPr>
              <w:t xml:space="preserve">F1-Score</w:t>
            </w:r>
          </w:p>
        </w:tc>
        <w:tc>
          <w:tcPr>
            <w:tcW w:type="dxa" w:w="1872"/>
            <w:tcBorders>
              <w:top w:val="single" w:sz="1"/>
              <w:left w:val="single" w:sz="1"/>
              <w:bottom w:val="single" w:sz="1"/>
              <w:right w:val="single" w:sz="1"/>
            </w:tcBorders>
            <w:shd w:fill="D9E2F3" w:val="clear"/>
            <w:tcMar>
              <w:top w:type="dxa" w:w="60"/>
              <w:left w:type="dxa" w:w="80"/>
              <w:bottom w:type="dxa" w:w="60"/>
              <w:right w:type="dxa" w:w="80"/>
            </w:tcMar>
          </w:tcPr>
          <w:p>
            <w:r>
              <w:rPr>
                <w:b/>
                <w:bCs/>
                <w:sz w:val="20"/>
                <w:szCs w:val="20"/>
              </w:rPr>
              <w:t xml:space="preserve">CV Mean ± Std</w:t>
            </w:r>
          </w:p>
        </w:tc>
      </w:tr>
      <w:tr>
        <w:tc>
          <w:tcPr>
            <w:tcW w:type="dxa" w:w="1872"/>
            <w:tcBorders>
              <w:top w:val="single" w:sz="1"/>
              <w:left w:val="single" w:sz="1"/>
              <w:bottom w:val="single" w:sz="1"/>
              <w:right w:val="single" w:sz="1"/>
            </w:tcBorders>
            <w:tcMar>
              <w:top w:type="dxa" w:w="60"/>
              <w:left w:type="dxa" w:w="80"/>
              <w:bottom w:type="dxa" w:w="60"/>
              <w:right w:type="dxa" w:w="80"/>
            </w:tcMar>
          </w:tcPr>
          <w:p>
            <w:r>
              <w:rPr>
                <w:sz w:val="20"/>
                <w:szCs w:val="20"/>
              </w:rPr>
              <w:t xml:space="preserve">SVM</w:t>
            </w:r>
          </w:p>
        </w:tc>
        <w:tc>
          <w:tcPr>
            <w:tcW w:type="dxa" w:w="1872"/>
            <w:tcBorders>
              <w:top w:val="single" w:sz="1"/>
              <w:left w:val="single" w:sz="1"/>
              <w:bottom w:val="single" w:sz="1"/>
              <w:right w:val="single" w:sz="1"/>
            </w:tcBorders>
            <w:tcMar>
              <w:top w:type="dxa" w:w="60"/>
              <w:left w:type="dxa" w:w="80"/>
              <w:bottom w:type="dxa" w:w="60"/>
              <w:right w:type="dxa" w:w="80"/>
            </w:tcMar>
          </w:tcPr>
          <w:p>
            <w:r>
              <w:rPr>
                <w:sz w:val="20"/>
                <w:szCs w:val="20"/>
              </w:rPr>
              <w:t xml:space="preserve">TF-IDF Bigram</w:t>
            </w:r>
          </w:p>
        </w:tc>
        <w:tc>
          <w:tcPr>
            <w:tcW w:type="dxa" w:w="1872"/>
            <w:tcBorders>
              <w:top w:val="single" w:sz="1"/>
              <w:left w:val="single" w:sz="1"/>
              <w:bottom w:val="single" w:sz="1"/>
              <w:right w:val="single" w:sz="1"/>
            </w:tcBorders>
            <w:shd w:fill="E2EFDA" w:val="clear"/>
            <w:tcMar>
              <w:top w:type="dxa" w:w="60"/>
              <w:left w:type="dxa" w:w="80"/>
              <w:bottom w:type="dxa" w:w="60"/>
              <w:right w:type="dxa" w:w="80"/>
            </w:tcMar>
          </w:tcPr>
          <w:p>
            <w:r>
              <w:rPr>
                <w:b/>
                <w:bCs/>
                <w:sz w:val="20"/>
                <w:szCs w:val="20"/>
              </w:rPr>
              <w:t xml:space="preserve">0.9650</w:t>
            </w:r>
          </w:p>
        </w:tc>
        <w:tc>
          <w:tcPr>
            <w:tcW w:type="dxa" w:w="1872"/>
            <w:tcBorders>
              <w:top w:val="single" w:sz="1"/>
              <w:left w:val="single" w:sz="1"/>
              <w:bottom w:val="single" w:sz="1"/>
              <w:right w:val="single" w:sz="1"/>
            </w:tcBorders>
            <w:tcMar>
              <w:top w:type="dxa" w:w="60"/>
              <w:left w:type="dxa" w:w="80"/>
              <w:bottom w:type="dxa" w:w="60"/>
              <w:right w:type="dxa" w:w="80"/>
            </w:tcMar>
          </w:tcPr>
          <w:p>
            <w:r>
              <w:rPr>
                <w:sz w:val="20"/>
                <w:szCs w:val="20"/>
              </w:rPr>
              <w:t xml:space="preserve">0.9648</w:t>
            </w:r>
          </w:p>
        </w:tc>
        <w:tc>
          <w:tcPr>
            <w:tcW w:type="dxa" w:w="1872"/>
            <w:tcBorders>
              <w:top w:val="single" w:sz="1"/>
              <w:left w:val="single" w:sz="1"/>
              <w:bottom w:val="single" w:sz="1"/>
              <w:right w:val="single" w:sz="1"/>
            </w:tcBorders>
            <w:tcMar>
              <w:top w:type="dxa" w:w="60"/>
              <w:left w:type="dxa" w:w="80"/>
              <w:bottom w:type="dxa" w:w="60"/>
              <w:right w:type="dxa" w:w="80"/>
            </w:tcMar>
          </w:tcPr>
          <w:p>
            <w:r>
              <w:rPr>
                <w:sz w:val="20"/>
                <w:szCs w:val="20"/>
              </w:rPr>
              <w:t xml:space="preserve">0.9612 ± 0.014</w:t>
            </w:r>
          </w:p>
        </w:tc>
      </w:tr>
      <w:tr>
        <w:tc>
          <w:tcPr>
            <w:tcW w:type="dxa" w:w="1872"/>
            <w:tcBorders>
              <w:top w:val="single" w:sz="1"/>
              <w:left w:val="single" w:sz="1"/>
              <w:bottom w:val="single" w:sz="1"/>
              <w:right w:val="single" w:sz="1"/>
            </w:tcBorders>
            <w:tcMar>
              <w:top w:type="dxa" w:w="60"/>
              <w:left w:type="dxa" w:w="80"/>
              <w:bottom w:type="dxa" w:w="60"/>
              <w:right w:type="dxa" w:w="80"/>
            </w:tcMar>
          </w:tcPr>
          <w:p>
            <w:r>
              <w:rPr>
                <w:sz w:val="20"/>
                <w:szCs w:val="20"/>
              </w:rPr>
              <w:t xml:space="preserve">Log. Regression</w:t>
            </w:r>
          </w:p>
        </w:tc>
        <w:tc>
          <w:tcPr>
            <w:tcW w:type="dxa" w:w="1872"/>
            <w:tcBorders>
              <w:top w:val="single" w:sz="1"/>
              <w:left w:val="single" w:sz="1"/>
              <w:bottom w:val="single" w:sz="1"/>
              <w:right w:val="single" w:sz="1"/>
            </w:tcBorders>
            <w:tcMar>
              <w:top w:type="dxa" w:w="60"/>
              <w:left w:type="dxa" w:w="80"/>
              <w:bottom w:type="dxa" w:w="60"/>
              <w:right w:type="dxa" w:w="80"/>
            </w:tcMar>
          </w:tcPr>
          <w:p>
            <w:r>
              <w:rPr>
                <w:sz w:val="20"/>
                <w:szCs w:val="20"/>
              </w:rPr>
              <w:t xml:space="preserve">TF-IDF Bigram</w:t>
            </w:r>
          </w:p>
        </w:tc>
        <w:tc>
          <w:tcPr>
            <w:tcW w:type="dxa" w:w="1872"/>
            <w:tcBorders>
              <w:top w:val="single" w:sz="1"/>
              <w:left w:val="single" w:sz="1"/>
              <w:bottom w:val="single" w:sz="1"/>
              <w:right w:val="single" w:sz="1"/>
            </w:tcBorders>
            <w:tcMar>
              <w:top w:type="dxa" w:w="60"/>
              <w:left w:type="dxa" w:w="80"/>
              <w:bottom w:type="dxa" w:w="60"/>
              <w:right w:type="dxa" w:w="80"/>
            </w:tcMar>
          </w:tcPr>
          <w:p>
            <w:r>
              <w:rPr>
                <w:sz w:val="20"/>
                <w:szCs w:val="20"/>
              </w:rPr>
              <w:t xml:space="preserve">0.9575</w:t>
            </w:r>
          </w:p>
        </w:tc>
        <w:tc>
          <w:tcPr>
            <w:tcW w:type="dxa" w:w="1872"/>
            <w:tcBorders>
              <w:top w:val="single" w:sz="1"/>
              <w:left w:val="single" w:sz="1"/>
              <w:bottom w:val="single" w:sz="1"/>
              <w:right w:val="single" w:sz="1"/>
            </w:tcBorders>
            <w:tcMar>
              <w:top w:type="dxa" w:w="60"/>
              <w:left w:type="dxa" w:w="80"/>
              <w:bottom w:type="dxa" w:w="60"/>
              <w:right w:type="dxa" w:w="80"/>
            </w:tcMar>
          </w:tcPr>
          <w:p>
            <w:r>
              <w:rPr>
                <w:sz w:val="20"/>
                <w:szCs w:val="20"/>
              </w:rPr>
              <w:t xml:space="preserve">0.9573</w:t>
            </w:r>
          </w:p>
        </w:tc>
        <w:tc>
          <w:tcPr>
            <w:tcW w:type="dxa" w:w="1872"/>
            <w:tcBorders>
              <w:top w:val="single" w:sz="1"/>
              <w:left w:val="single" w:sz="1"/>
              <w:bottom w:val="single" w:sz="1"/>
              <w:right w:val="single" w:sz="1"/>
            </w:tcBorders>
            <w:tcMar>
              <w:top w:type="dxa" w:w="60"/>
              <w:left w:type="dxa" w:w="80"/>
              <w:bottom w:type="dxa" w:w="60"/>
              <w:right w:type="dxa" w:w="80"/>
            </w:tcMar>
          </w:tcPr>
          <w:p>
            <w:r>
              <w:rPr>
                <w:sz w:val="20"/>
                <w:szCs w:val="20"/>
              </w:rPr>
              <w:t xml:space="preserve">0.9538 ± 0.016</w:t>
            </w:r>
          </w:p>
        </w:tc>
      </w:tr>
      <w:tr>
        <w:tc>
          <w:tcPr>
            <w:tcW w:type="dxa" w:w="1872"/>
            <w:tcBorders>
              <w:top w:val="single" w:sz="1"/>
              <w:left w:val="single" w:sz="1"/>
              <w:bottom w:val="single" w:sz="1"/>
              <w:right w:val="single" w:sz="1"/>
            </w:tcBorders>
            <w:tcMar>
              <w:top w:type="dxa" w:w="60"/>
              <w:left w:type="dxa" w:w="80"/>
              <w:bottom w:type="dxa" w:w="60"/>
              <w:right w:type="dxa" w:w="80"/>
            </w:tcMar>
          </w:tcPr>
          <w:p>
            <w:r>
              <w:rPr>
                <w:sz w:val="20"/>
                <w:szCs w:val="20"/>
              </w:rPr>
              <w:t xml:space="preserve">Naive Bayes</w:t>
            </w:r>
          </w:p>
        </w:tc>
        <w:tc>
          <w:tcPr>
            <w:tcW w:type="dxa" w:w="1872"/>
            <w:tcBorders>
              <w:top w:val="single" w:sz="1"/>
              <w:left w:val="single" w:sz="1"/>
              <w:bottom w:val="single" w:sz="1"/>
              <w:right w:val="single" w:sz="1"/>
            </w:tcBorders>
            <w:tcMar>
              <w:top w:type="dxa" w:w="60"/>
              <w:left w:type="dxa" w:w="80"/>
              <w:bottom w:type="dxa" w:w="60"/>
              <w:right w:type="dxa" w:w="80"/>
            </w:tcMar>
          </w:tcPr>
          <w:p>
            <w:r>
              <w:rPr>
                <w:sz w:val="20"/>
                <w:szCs w:val="20"/>
              </w:rPr>
              <w:t xml:space="preserve">TF-IDF Unigram</w:t>
            </w:r>
          </w:p>
        </w:tc>
        <w:tc>
          <w:tcPr>
            <w:tcW w:type="dxa" w:w="1872"/>
            <w:tcBorders>
              <w:top w:val="single" w:sz="1"/>
              <w:left w:val="single" w:sz="1"/>
              <w:bottom w:val="single" w:sz="1"/>
              <w:right w:val="single" w:sz="1"/>
            </w:tcBorders>
            <w:tcMar>
              <w:top w:type="dxa" w:w="60"/>
              <w:left w:type="dxa" w:w="80"/>
              <w:bottom w:type="dxa" w:w="60"/>
              <w:right w:type="dxa" w:w="80"/>
            </w:tcMar>
          </w:tcPr>
          <w:p>
            <w:r>
              <w:rPr>
                <w:sz w:val="20"/>
                <w:szCs w:val="20"/>
              </w:rPr>
              <w:t xml:space="preserve">0.9425</w:t>
            </w:r>
          </w:p>
        </w:tc>
        <w:tc>
          <w:tcPr>
            <w:tcW w:type="dxa" w:w="1872"/>
            <w:tcBorders>
              <w:top w:val="single" w:sz="1"/>
              <w:left w:val="single" w:sz="1"/>
              <w:bottom w:val="single" w:sz="1"/>
              <w:right w:val="single" w:sz="1"/>
            </w:tcBorders>
            <w:tcMar>
              <w:top w:type="dxa" w:w="60"/>
              <w:left w:type="dxa" w:w="80"/>
              <w:bottom w:type="dxa" w:w="60"/>
              <w:right w:type="dxa" w:w="80"/>
            </w:tcMar>
          </w:tcPr>
          <w:p>
            <w:r>
              <w:rPr>
                <w:sz w:val="20"/>
                <w:szCs w:val="20"/>
              </w:rPr>
              <w:t xml:space="preserve">0.9422</w:t>
            </w:r>
          </w:p>
        </w:tc>
        <w:tc>
          <w:tcPr>
            <w:tcW w:type="dxa" w:w="1872"/>
            <w:tcBorders>
              <w:top w:val="single" w:sz="1"/>
              <w:left w:val="single" w:sz="1"/>
              <w:bottom w:val="single" w:sz="1"/>
              <w:right w:val="single" w:sz="1"/>
            </w:tcBorders>
            <w:tcMar>
              <w:top w:type="dxa" w:w="60"/>
              <w:left w:type="dxa" w:w="80"/>
              <w:bottom w:type="dxa" w:w="60"/>
              <w:right w:type="dxa" w:w="80"/>
            </w:tcMar>
          </w:tcPr>
          <w:p>
            <w:r>
              <w:rPr>
                <w:sz w:val="20"/>
                <w:szCs w:val="20"/>
              </w:rPr>
              <w:t xml:space="preserve">0.9387 ± 0.018</w:t>
            </w:r>
          </w:p>
        </w:tc>
      </w:tr>
      <w:tr>
        <w:tc>
          <w:tcPr>
            <w:tcW w:type="dxa" w:w="1872"/>
            <w:tcBorders>
              <w:top w:val="single" w:sz="1"/>
              <w:left w:val="single" w:sz="1"/>
              <w:bottom w:val="single" w:sz="1"/>
              <w:right w:val="single" w:sz="1"/>
            </w:tcBorders>
            <w:tcMar>
              <w:top w:type="dxa" w:w="60"/>
              <w:left w:type="dxa" w:w="80"/>
              <w:bottom w:type="dxa" w:w="60"/>
              <w:right w:type="dxa" w:w="80"/>
            </w:tcMar>
          </w:tcPr>
          <w:p>
            <w:r>
              <w:rPr>
                <w:sz w:val="20"/>
                <w:szCs w:val="20"/>
              </w:rPr>
              <w:t xml:space="preserve">Grad. Boosting</w:t>
            </w:r>
          </w:p>
        </w:tc>
        <w:tc>
          <w:tcPr>
            <w:tcW w:type="dxa" w:w="1872"/>
            <w:tcBorders>
              <w:top w:val="single" w:sz="1"/>
              <w:left w:val="single" w:sz="1"/>
              <w:bottom w:val="single" w:sz="1"/>
              <w:right w:val="single" w:sz="1"/>
            </w:tcBorders>
            <w:tcMar>
              <w:top w:type="dxa" w:w="60"/>
              <w:left w:type="dxa" w:w="80"/>
              <w:bottom w:type="dxa" w:w="60"/>
              <w:right w:type="dxa" w:w="80"/>
            </w:tcMar>
          </w:tcPr>
          <w:p>
            <w:r>
              <w:rPr>
                <w:sz w:val="20"/>
                <w:szCs w:val="20"/>
              </w:rPr>
              <w:t xml:space="preserve">TF-IDF Trigram</w:t>
            </w:r>
          </w:p>
        </w:tc>
        <w:tc>
          <w:tcPr>
            <w:tcW w:type="dxa" w:w="1872"/>
            <w:tcBorders>
              <w:top w:val="single" w:sz="1"/>
              <w:left w:val="single" w:sz="1"/>
              <w:bottom w:val="single" w:sz="1"/>
              <w:right w:val="single" w:sz="1"/>
            </w:tcBorders>
            <w:tcMar>
              <w:top w:type="dxa" w:w="60"/>
              <w:left w:type="dxa" w:w="80"/>
              <w:bottom w:type="dxa" w:w="60"/>
              <w:right w:type="dxa" w:w="80"/>
            </w:tcMar>
          </w:tcPr>
          <w:p>
            <w:r>
              <w:rPr>
                <w:sz w:val="20"/>
                <w:szCs w:val="20"/>
              </w:rPr>
              <w:t xml:space="preserve">0.9350</w:t>
            </w:r>
          </w:p>
        </w:tc>
        <w:tc>
          <w:tcPr>
            <w:tcW w:type="dxa" w:w="1872"/>
            <w:tcBorders>
              <w:top w:val="single" w:sz="1"/>
              <w:left w:val="single" w:sz="1"/>
              <w:bottom w:val="single" w:sz="1"/>
              <w:right w:val="single" w:sz="1"/>
            </w:tcBorders>
            <w:tcMar>
              <w:top w:type="dxa" w:w="60"/>
              <w:left w:type="dxa" w:w="80"/>
              <w:bottom w:type="dxa" w:w="60"/>
              <w:right w:type="dxa" w:w="80"/>
            </w:tcMar>
          </w:tcPr>
          <w:p>
            <w:r>
              <w:rPr>
                <w:sz w:val="20"/>
                <w:szCs w:val="20"/>
              </w:rPr>
              <w:t xml:space="preserve">0.9347</w:t>
            </w:r>
          </w:p>
        </w:tc>
        <w:tc>
          <w:tcPr>
            <w:tcW w:type="dxa" w:w="1872"/>
            <w:tcBorders>
              <w:top w:val="single" w:sz="1"/>
              <w:left w:val="single" w:sz="1"/>
              <w:bottom w:val="single" w:sz="1"/>
              <w:right w:val="single" w:sz="1"/>
            </w:tcBorders>
            <w:tcMar>
              <w:top w:type="dxa" w:w="60"/>
              <w:left w:type="dxa" w:w="80"/>
              <w:bottom w:type="dxa" w:w="60"/>
              <w:right w:type="dxa" w:w="80"/>
            </w:tcMar>
          </w:tcPr>
          <w:p>
            <w:r>
              <w:rPr>
                <w:sz w:val="20"/>
                <w:szCs w:val="20"/>
              </w:rPr>
              <w:t xml:space="preserve">0.9294 ± 0.021</w:t>
            </w:r>
          </w:p>
        </w:tc>
      </w:tr>
      <w:tr>
        <w:tc>
          <w:tcPr>
            <w:tcW w:type="dxa" w:w="1872"/>
            <w:tcBorders>
              <w:top w:val="single" w:sz="1"/>
              <w:left w:val="single" w:sz="1"/>
              <w:bottom w:val="single" w:sz="1"/>
              <w:right w:val="single" w:sz="1"/>
            </w:tcBorders>
            <w:tcMar>
              <w:top w:type="dxa" w:w="60"/>
              <w:left w:type="dxa" w:w="80"/>
              <w:bottom w:type="dxa" w:w="60"/>
              <w:right w:type="dxa" w:w="80"/>
            </w:tcMar>
          </w:tcPr>
          <w:p>
            <w:r>
              <w:rPr>
                <w:sz w:val="20"/>
                <w:szCs w:val="20"/>
              </w:rPr>
              <w:t xml:space="preserve">Random Forest</w:t>
            </w:r>
          </w:p>
        </w:tc>
        <w:tc>
          <w:tcPr>
            <w:tcW w:type="dxa" w:w="1872"/>
            <w:tcBorders>
              <w:top w:val="single" w:sz="1"/>
              <w:left w:val="single" w:sz="1"/>
              <w:bottom w:val="single" w:sz="1"/>
              <w:right w:val="single" w:sz="1"/>
            </w:tcBorders>
            <w:tcMar>
              <w:top w:type="dxa" w:w="60"/>
              <w:left w:type="dxa" w:w="80"/>
              <w:bottom w:type="dxa" w:w="60"/>
              <w:right w:type="dxa" w:w="80"/>
            </w:tcMar>
          </w:tcPr>
          <w:p>
            <w:r>
              <w:rPr>
                <w:sz w:val="20"/>
                <w:szCs w:val="20"/>
              </w:rPr>
              <w:t xml:space="preserve">BoW Bigram</w:t>
            </w:r>
          </w:p>
        </w:tc>
        <w:tc>
          <w:tcPr>
            <w:tcW w:type="dxa" w:w="1872"/>
            <w:tcBorders>
              <w:top w:val="single" w:sz="1"/>
              <w:left w:val="single" w:sz="1"/>
              <w:bottom w:val="single" w:sz="1"/>
              <w:right w:val="single" w:sz="1"/>
            </w:tcBorders>
            <w:tcMar>
              <w:top w:type="dxa" w:w="60"/>
              <w:left w:type="dxa" w:w="80"/>
              <w:bottom w:type="dxa" w:w="60"/>
              <w:right w:type="dxa" w:w="80"/>
            </w:tcMar>
          </w:tcPr>
          <w:p>
            <w:r>
              <w:rPr>
                <w:sz w:val="20"/>
                <w:szCs w:val="20"/>
              </w:rPr>
              <w:t xml:space="preserve">0.9175</w:t>
            </w:r>
          </w:p>
        </w:tc>
        <w:tc>
          <w:tcPr>
            <w:tcW w:type="dxa" w:w="1872"/>
            <w:tcBorders>
              <w:top w:val="single" w:sz="1"/>
              <w:left w:val="single" w:sz="1"/>
              <w:bottom w:val="single" w:sz="1"/>
              <w:right w:val="single" w:sz="1"/>
            </w:tcBorders>
            <w:tcMar>
              <w:top w:type="dxa" w:w="60"/>
              <w:left w:type="dxa" w:w="80"/>
              <w:bottom w:type="dxa" w:w="60"/>
              <w:right w:type="dxa" w:w="80"/>
            </w:tcMar>
          </w:tcPr>
          <w:p>
            <w:r>
              <w:rPr>
                <w:sz w:val="20"/>
                <w:szCs w:val="20"/>
              </w:rPr>
              <w:t xml:space="preserve">0.9168</w:t>
            </w:r>
          </w:p>
        </w:tc>
        <w:tc>
          <w:tcPr>
            <w:tcW w:type="dxa" w:w="1872"/>
            <w:tcBorders>
              <w:top w:val="single" w:sz="1"/>
              <w:left w:val="single" w:sz="1"/>
              <w:bottom w:val="single" w:sz="1"/>
              <w:right w:val="single" w:sz="1"/>
            </w:tcBorders>
            <w:tcMar>
              <w:top w:type="dxa" w:w="60"/>
              <w:left w:type="dxa" w:w="80"/>
              <w:bottom w:type="dxa" w:w="60"/>
              <w:right w:type="dxa" w:w="80"/>
            </w:tcMar>
          </w:tcPr>
          <w:p>
            <w:r>
              <w:rPr>
                <w:sz w:val="20"/>
                <w:szCs w:val="20"/>
              </w:rPr>
              <w:t xml:space="preserve">0.9103 ± 0.024</w:t>
            </w:r>
          </w:p>
        </w:tc>
      </w:tr>
    </w:tbl>
    <w:p>
      <w:pPr>
        <w:spacing w:before="200" w:after="200" w:line="276"/>
        <w:jc w:val="both"/>
      </w:pPr>
      <w:r>
        <w:t xml:space="preserve">The results reveal several noteworthy patterns warranting detailed examination. Linear classifiers—specifically SVM and Logistic Regression—consistently outperform tree-based ensemble methods across all feature configurations. This observation aligns with established findings in the text classification literature, wherein the high dimensionality and sparsity of text feature spaces favor linear decision boundaries over the axis-aligned partitions characteristic of decision trees. The SVM with TF-IDF bigram features achieves the highest accuracy of 96.50%, closely followed by Logistic Regression at 95.75%, representing statistically significant improvements over the random baseline of 50%.</w:t>
      </w:r>
    </w:p>
    <w:p>
      <w:pPr>
        <w:spacing w:after="200" w:line="276"/>
        <w:jc w:val="both"/>
      </w:pPr>
      <w:r>
        <w:t xml:space="preserve">TF-IDF weighting consistently enhances performance relative to raw Bag of Words representations, with improvements ranging from 1.5% to 4.2% in accuracy depending on the classifier. This enhancement derives from TF-IDF's capacity to downweight ubiquitous terms while emphasizing category-discriminative vocabulary. The incorporation of bigram features yields modest but consistent gains over unigram-only configurations, capturing informative two-word phrases such as 'prime minister,' 'goal scored,' and 'foreign policy' that carry stronger categorical associations than their constituent unigrams. Trigram features provide diminishing returns, likely due to increased sparsity and the limited corpus size precluding reliable estimation of three-word sequence frequencies.</w:t>
      </w:r>
    </w:p>
    <w:p>
      <w:pPr>
        <w:spacing w:after="300" w:line="276"/>
        <w:jc w:val="both"/>
      </w:pPr>
      <w:r>
        <w:t xml:space="preserve">Cross-validation analysis confirms the stability of these rankings. Standard deviations across folds remain below 2.5% for all configurations, indicating robust performance estimates uncontaminated by fortuitous train-test splits. The correlation between cross-validation means and held-out test accuracy exceeds 0.95, validating the representativeness of our evaluation methodology. Notably, the gap between Random Forest and linear classifiers widens under cross-validation, suggesting that ensemble tree methods may exhibit greater sensitivity to training set composition in this domain.</w:t>
      </w:r>
    </w:p>
    <w:p>
      <w:pPr>
        <w:pStyle w:val="Heading1"/>
      </w:pPr>
      <w:r>
        <w:t xml:space="preserve">7. Discussion and Limitations</w:t>
      </w:r>
    </w:p>
    <w:p>
      <w:pPr>
        <w:pStyle w:val="Heading2"/>
      </w:pPr>
      <w:r>
        <w:t xml:space="preserve">7.1 Interpretation of Findings</w:t>
      </w:r>
    </w:p>
    <w:p>
      <w:pPr>
        <w:spacing w:after="200" w:line="276"/>
        <w:jc w:val="both"/>
      </w:pPr>
      <w:r>
        <w:t xml:space="preserve">The superior performance of linear classifiers on our text classification task admits a principled explanation grounded in the geometric properties of high-dimensional feature spaces. The curse of dimensionality, which typically afflicts machine learning algorithms operating in high-dimensional settings, manifests differently for linear versus nonlinear methods. Linear classifiers effectively project data onto lower-dimensional subspaces defined by their weight vectors, thereby circumventing the sparsity issues that plague distance-based methods. In contrast, tree-based algorithms must partition the feature space through axis-aligned splits, a strategy poorly suited to capturing the linear combinations of features that distinguish topical categories in text data.</w:t>
      </w:r>
    </w:p>
    <w:p>
      <w:pPr>
        <w:spacing w:after="200" w:line="276"/>
        <w:jc w:val="both"/>
      </w:pPr>
      <w:r>
        <w:t xml:space="preserve">The effectiveness of TF-IDF weighting reflects the information-theoretic principle that discriminative features should exhibit skewed distributions across categories. Terms appearing in all documents regardless of topic—such as common verbs, prepositions, and pronouns—provide minimal evidence for classification and appropriately receive attenuated weights. Conversely, category-specific terminology receives amplification commensurate with its discriminative utility. This automatic feature weighting obviates the need for manual feature engineering while adapting to the statistical properties of the training corpus.</w:t>
      </w:r>
    </w:p>
    <w:p>
      <w:pPr>
        <w:pStyle w:val="Heading2"/>
      </w:pPr>
      <w:r>
        <w:t xml:space="preserve">7.2 Limitations and Threats to Validity</w:t>
      </w:r>
    </w:p>
    <w:p>
      <w:pPr>
        <w:spacing w:after="200" w:line="276"/>
        <w:jc w:val="both"/>
      </w:pPr>
      <w:r>
        <w:t xml:space="preserve">Our investigation is subject to several limitations that circumscribe the generalizability of our conclusions. First, the binary classification setting—distinguishing sports from politics—represents a relatively straightforward task given the distinct vocabulary and topical focus characterizing these domains. Extension to multiclass settings or more semantically proximate categories may yield different relative rankings among algorithms. Second, the modest corpus size of 2,000 documents, while adequate for evaluating traditional machine learning methods, precludes meaningful comparison with deep learning approaches that typically require substantially larger training sets. Third, the inclusion of synthetic data, while beneficial for balancing and regularization, introduces distributional artifacts that may not reflect the characteristics of authentic human-authored content.</w:t>
      </w:r>
    </w:p>
    <w:p>
      <w:pPr>
        <w:spacing w:after="200" w:line="276"/>
        <w:jc w:val="both"/>
      </w:pPr>
      <w:r>
        <w:t xml:space="preserve">Additional limitations pertain to our experimental methodology. Hyperparameter optimization was not exhaustively pursued; default configurations were employed for most algorithms, and systematic grid search or Bayesian optimization might yield improved performance for specific classifier-feature combinations. The preprocessing pipeline, while following established best practices, involves discretionary choices regarding stop word lists, stemming versus lemmatization, and tokenization strategies that may influence results. Furthermore, our evaluation focuses exclusively on classification accuracy and related metrics, neglecting considerations of computational efficiency, model interpretability, and calibration quality that may prove relevant in deployment contexts.</w:t>
      </w:r>
    </w:p>
    <w:p>
      <w:pPr>
        <w:pStyle w:val="Heading2"/>
      </w:pPr>
      <w:r>
        <w:t xml:space="preserve">7.3 Future Directions</w:t>
      </w:r>
    </w:p>
    <w:p>
      <w:pPr>
        <w:spacing w:after="200" w:line="276"/>
        <w:jc w:val="both"/>
      </w:pPr>
      <w:r>
        <w:t xml:space="preserve">Several promising avenues for future research emerge from our investigation. The advent of transformer-based language models such as BERT, RoBERTa, and their domain-specific variants presents opportunities for substantial performance improvements through transfer learning. These models encode contextual representations that capture semantic nuances beyond the reach of bag-of-words representations, potentially enabling more accurate classification of ambiguous or borderline documents. Fine-tuning pretrained transformers on our binary classification task constitutes a natural extension of the present work.</w:t>
      </w:r>
    </w:p>
    <w:p>
      <w:pPr>
        <w:spacing w:after="300" w:line="276"/>
        <w:jc w:val="both"/>
      </w:pPr>
      <w:r>
        <w:t xml:space="preserve">Additional directions include the investigation of ensemble methods combining heterogeneous classifiers, the application of active learning strategies to optimize labeling efficiency, and the development of interpretable classification systems providing human-readable explanations for individual predictions. The integration of external knowledge sources—such as entity linking to knowledge graphs or incorporation of document metadata—may further enhance discriminative capability. Finally, extending the evaluation to multilingual corpora would assess the cross-linguistic transferability of our findings.</w:t>
      </w:r>
    </w:p>
    <w:p>
      <w:r>
        <w:br w:type="page"/>
      </w:r>
    </w:p>
    <w:p>
      <w:pPr>
        <w:pStyle w:val="Heading1"/>
      </w:pPr>
      <w:r>
        <w:t xml:space="preserve">8. Conclusion</w:t>
      </w:r>
    </w:p>
    <w:p>
      <w:pPr>
        <w:spacing w:after="200" w:line="276"/>
        <w:jc w:val="both"/>
      </w:pPr>
      <w:r>
        <w:t xml:space="preserve">This report has presented a systematic empirical investigation of machine learning techniques for binary text classification, specifically addressing the task of distinguishing sports articles from political content. Through comprehensive experimentation spanning five classification algorithms and five feature representation schemes, we have established robust conclusions regarding the relative effectiveness of alternative methodological choices.</w:t>
      </w:r>
    </w:p>
    <w:p>
      <w:pPr>
        <w:spacing w:after="200" w:line="276"/>
        <w:jc w:val="both"/>
      </w:pPr>
      <w:r>
        <w:t xml:space="preserve">Our principal findings may be summarized as follows. First, linear classifiers—particularly Support Vector Machines and Logistic Regression—achieve superior performance on text classification tasks, attaining accuracy scores exceeding 96% on our evaluation corpus. This superiority derives from the geometric properties of high-dimensional sparse feature spaces, wherein linear decision boundaries prove both computationally tractable and statistically robust. Second, TF-IDF weighting consistently outperforms raw frequency-based Bag of Words representations, with improvements attributable to the automatic downweighting of uninformative common terms. Third, bigram features provide modest performance enhancements over unigram-only configurations by capturing informative two-word phrases, though trigram features yield diminishing returns in our experimental setting.</w:t>
      </w:r>
    </w:p>
    <w:p>
      <w:pPr>
        <w:spacing w:after="200" w:line="276"/>
        <w:jc w:val="both"/>
      </w:pPr>
      <w:r>
        <w:t xml:space="preserve">These findings carry practical implications for the design of text classification systems. Practitioners confronting similar binary classification tasks should prioritize linear classifiers with TF-IDF bigram features, reserving more complex models for scenarios where baseline methods prove inadequate. The simplicity and interpretability of linear models confer additional advantages in deployment contexts requiring explainable predictions or computational efficiency. Our results furthermore validate the enduring relevance of traditional machine learning approaches in an era increasingly dominated by deep learning methodologies.</w:t>
      </w:r>
    </w:p>
    <w:p>
      <w:pPr>
        <w:spacing w:after="300" w:line="276"/>
        <w:jc w:val="both"/>
      </w:pPr>
      <w:r>
        <w:t xml:space="preserve">We acknowledge the limitations inherent in our investigation, including the binary classification setting, modest corpus size, and reliance on default hyperparameters. Future work should address these constraints through extension to multiclass settings, procurement of larger authentic corpora, and systematic hyperparameter optimization. The integration of transformer-based language models represents a particularly promising direction for achieving further performance improvements.</w:t>
      </w:r>
    </w:p>
    <w:p>
      <w:pPr>
        <w:pStyle w:val="Heading1"/>
      </w:pPr>
      <w:r>
        <w:t xml:space="preserve">References</w:t>
      </w:r>
    </w:p>
    <w:p>
      <w:pPr>
        <w:spacing w:after="120"/>
      </w:pPr>
      <w:r>
        <w:rPr>
          <w:sz w:val="22"/>
          <w:szCs w:val="22"/>
        </w:rPr>
        <w:t xml:space="preserve">[1] Joachims, T. (1998). Text categorization with support vector machines: Learning with many relevant features. In European Conference on Machine Learning (pp. 137-142). Springer.</w:t>
      </w:r>
    </w:p>
    <w:p>
      <w:pPr>
        <w:spacing w:after="120"/>
      </w:pPr>
      <w:r>
        <w:rPr>
          <w:sz w:val="22"/>
          <w:szCs w:val="22"/>
        </w:rPr>
        <w:t xml:space="preserve">[2] Manning, C. D., Raghavan, P., &amp; Schütze, H. (2008). Introduction to Information Retrieval. Cambridge University Press.</w:t>
      </w:r>
    </w:p>
    <w:p>
      <w:pPr>
        <w:spacing w:after="120"/>
      </w:pPr>
      <w:r>
        <w:rPr>
          <w:sz w:val="22"/>
          <w:szCs w:val="22"/>
        </w:rPr>
        <w:t xml:space="preserve">[3] McCallum, A., &amp; Nigam, K. (1998). A comparison of event models for naive bayes text classification. In AAAI-98 Workshop on Learning for Text Categorization.</w:t>
      </w:r>
    </w:p>
    <w:p>
      <w:pPr>
        <w:spacing w:after="120"/>
      </w:pPr>
      <w:r>
        <w:rPr>
          <w:sz w:val="22"/>
          <w:szCs w:val="22"/>
        </w:rPr>
        <w:t xml:space="preserve">[4] Breiman, L. (2001). Random forests. Machine Learning, 45(1), 5-32.</w:t>
      </w:r>
    </w:p>
    <w:p>
      <w:pPr>
        <w:spacing w:after="120"/>
      </w:pPr>
      <w:r>
        <w:rPr>
          <w:sz w:val="22"/>
          <w:szCs w:val="22"/>
        </w:rPr>
        <w:t xml:space="preserve">[5] Friedman, J. H. (2001). Greedy function approximation: A gradient boosting machine. Annals of Statistics, 29(5), 1189-1232.</w:t>
      </w:r>
    </w:p>
    <w:p>
      <w:pPr>
        <w:spacing w:after="120"/>
      </w:pPr>
      <w:r>
        <w:rPr>
          <w:sz w:val="22"/>
          <w:szCs w:val="22"/>
        </w:rPr>
        <w:t xml:space="preserve">[6] Pedregosa, F., et al. (2011). Scikit-learn: Machine learning in Python. Journal of Machine Learning Research, 12, 2825-2830.</w:t>
      </w:r>
    </w:p>
    <w:p>
      <w:pPr>
        <w:spacing w:after="120"/>
      </w:pPr>
      <w:r>
        <w:rPr>
          <w:sz w:val="22"/>
          <w:szCs w:val="22"/>
        </w:rPr>
        <w:t xml:space="preserve">[7] Bird, S., Klein, E., &amp; Loper, E. (2009). Natural Language Processing with Python. O'Reilly Media.</w:t>
      </w:r>
    </w:p>
    <w:p>
      <w:pPr>
        <w:spacing w:after="120"/>
      </w:pPr>
      <w:r>
        <w:rPr>
          <w:sz w:val="22"/>
          <w:szCs w:val="22"/>
        </w:rPr>
        <w:t xml:space="preserve">[8] Greene, D., &amp; Cunningham, P. (2006). Practical solutions to the problem of diagonal dominance in kernel document clustering. In ICML (pp. 377-384).</w:t>
      </w:r>
    </w:p>
    <w:p>
      <w:pPr>
        <w:spacing w:after="120"/>
      </w:pPr>
      <w:r>
        <w:rPr>
          <w:sz w:val="22"/>
          <w:szCs w:val="22"/>
        </w:rPr>
        <w:t xml:space="preserve">[9] Devlin, J., Chang, M. W., Lee, K., &amp; Toutanova, K. (2019). BERT: Pre-training of deep bidirectional transformers for language understanding. In NAACL-HLT.</w:t>
      </w:r>
    </w:p>
    <w:p>
      <w:pPr>
        <w:spacing w:after="200"/>
      </w:pPr>
      <w:r>
        <w:rPr>
          <w:sz w:val="22"/>
          <w:szCs w:val="22"/>
        </w:rPr>
        <w:t xml:space="preserve">[10] Zhang, Y., &amp; Wallace, B. (2017). A sensitivity analysis of (and practitioners' guide to) convolutional neural networks for sentence classification. In IJCNLP.</w:t>
      </w:r>
    </w:p>
    <w:p>
      <w:r>
        <w:br w:type="page"/>
      </w:r>
    </w:p>
    <w:p>
      <w:pPr>
        <w:pStyle w:val="Heading1"/>
      </w:pPr>
      <w:r>
        <w:t xml:space="preserve">Appendix A: Implementation Details</w:t>
      </w:r>
    </w:p>
    <w:p>
      <w:pPr>
        <w:spacing w:after="200" w:line="276"/>
        <w:jc w:val="both"/>
      </w:pPr>
      <w:r>
        <w:t xml:space="preserve">All experiments were implemented in Python 3.9 using the scikit-learn library (version 1.0) for machine learning algorithms and NLTK (version 3.6) for natural language preprocessing. Visualizations were generated using Matplotlib and Seaborn. The complete source code is available at the accompanying GitHub repository, organized into modular components for data collection, preprocessing, feature extraction, classification, and visualization. Execution on a standard laptop with an Intel Core i7 processor and 16GB RAM required approximately 15 minutes for the complete experimental pipeline.</w:t>
      </w:r>
    </w:p>
    <w:p>
      <w:pPr>
        <w:pStyle w:val="Heading2"/>
      </w:pPr>
      <w:r>
        <w:t xml:space="preserve">A.1 Hyperparameter Settings</w:t>
      </w:r>
    </w:p>
    <w:p>
      <w:pPr>
        <w:spacing w:after="200" w:line="276"/>
        <w:jc w:val="both"/>
      </w:pPr>
      <w:r>
        <w:t xml:space="preserve">The following hyperparameter configurations were employed across experiments. Multinomial Naive Bayes used Laplace smoothing with alpha=1.0. Logistic Regression employed L2 regularization with C=1.0 and maximum iterations set to 1000. SVM utilized a linear kernel with C=1.0. Random Forest constructed 100 trees with no maximum depth constraint. Gradient Boosting trained 100 iterations with a learning rate of 0.1 and maximum tree depth of 3. Feature extraction limited vocabulary to 5000 terms with minimum document frequency of 2 and maximum document frequency ratio of 0.95.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Sports vs Politics Text Classification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before="280" w:after="18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before="240" w:after="12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2026-02-04T09:46:21.653Z</dcterms:created>
  <dcterms:modified xsi:type="dcterms:W3CDTF">2026-02-04T09:46:21.653Z</dcterms:modified>
</cp:coreProperties>
</file>

<file path=docProps/custom.xml><?xml version="1.0" encoding="utf-8"?>
<Properties xmlns="http://schemas.openxmlformats.org/officeDocument/2006/custom-properties" xmlns:vt="http://schemas.openxmlformats.org/officeDocument/2006/docPropsVTypes"/>
</file>