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4ypmc2nybf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Credit Risk Analysis Case Study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rzpgrm7bz9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 risk analysis helps financial institutions evaluate a borrower’s likelihood of defaulting on a loan. This case study uses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Home Credit Default Risk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dataset to understand customer characteristics, identify risk factors, analyze previous loan behavior, and apply statistical tests to derive actionable insights for lending decisions.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study includes: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cleaning and preprocessing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Handling missing values and categorical inconsistencies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Univariate, bivariate, and multivariate analyses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Merging applicant data with previous loan 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hypothesis testing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recommendations for risk mitigation</w:t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f22mothmn3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Data Understanding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my055j4ngc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Applicants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(307,511 rows, 122 columns)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Previous loans dataset</w:t>
      </w:r>
      <w:r w:rsidDel="00000000" w:rsidR="00000000" w:rsidRPr="00000000">
        <w:rPr>
          <w:rFonts w:ascii="Cardo" w:cs="Cardo" w:eastAsia="Cardo" w:hAnsi="Cardo"/>
          <w:rtl w:val="0"/>
        </w:rPr>
        <w:t xml:space="preserve"> (1,670,214 rows → cleaned to 69,635 rows)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applicant dataset captures demographics, income, employment, credit values, and contract details.</w:t>
        <w:br w:type="textWrapping"/>
        <w:t xml:space="preserve"> The previous loans dataset includes past contract status, application amounts, product types, rejection reasons, etc.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dit4wxf8xy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Data Cleaning &amp; Preprocessing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p4spwkqrzm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Handling Missing Values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&gt;40% missing values</w:t>
      </w:r>
      <w:r w:rsidDel="00000000" w:rsidR="00000000" w:rsidRPr="00000000">
        <w:rPr>
          <w:rFonts w:ascii="Cardo" w:cs="Cardo" w:eastAsia="Cardo" w:hAnsi="Cardo"/>
          <w:rtl w:val="0"/>
        </w:rPr>
        <w:t xml:space="preserve"> were dropped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64 columns removed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 with minor missing values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AMT_ANNUITY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were imputed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due to heavy outliers.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Categorical missing values were filled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vxp2hduohx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Handling Categorical 'XNA' / 'XAP' Values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CODE_GENDER</w:t>
      </w:r>
      <w:r w:rsidDel="00000000" w:rsidR="00000000" w:rsidRPr="00000000">
        <w:rPr>
          <w:rFonts w:ascii="Cardo" w:cs="Cardo" w:eastAsia="Cardo" w:hAnsi="Cardo"/>
          <w:rtl w:val="0"/>
        </w:rPr>
        <w:t xml:space="preserve"> had 4 rows as 'XNA' → updated to 'F'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ORGANIZATION_TYPE</w:t>
      </w:r>
      <w:r w:rsidDel="00000000" w:rsidR="00000000" w:rsidRPr="00000000">
        <w:rPr>
          <w:rFonts w:ascii="Cardo" w:cs="Cardo" w:eastAsia="Cardo" w:hAnsi="Cardo"/>
          <w:rtl w:val="0"/>
        </w:rPr>
        <w:t xml:space="preserve"> had 45,849 'XNA' entries → removed (only 18% of dataset)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loans with 'XNA' / 'XAP'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NAME_CASH_LOAN_PURPOSE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were removed</w:t>
        <w:br w:type="textWrapping"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r1vet505ld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Feature Engineering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hqkn8kvigu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Derived Variables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AGE_YEARS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–DAYS_BIRTH / 365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EMPLOYMENT_YEARS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–DAYS_EMPLOYED / 365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Income &amp; credit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binned into ranges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easier categorical analysis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9ol9tp2rk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Target Variable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TARGET = 1 → client has payment difficulty (defaulter)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TARGET = 0 → non-defaulter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Imbalance Ratio: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Target0 / Target1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10.55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indicating a highly imbalanced dataset.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btg0kvp8wy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Exploratory Data Analysis (EDA)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wud5hqdu8l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5.1 Univariate Analysis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xyn88x0mx5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Categorical Variables (TARGET 0 &amp; 1)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dq1mm7nrxj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Income Range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Majority of applicants fall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100k – 200k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income.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Target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dominate the risky income groups.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83u4gqokc3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Income Type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applicants belong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Commercial Associate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Servant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Students, pensioners, and businessmen show extremely low default rates.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c9oml13ysc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Contract Type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Cash loans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dominate both defaulters and non-defaulters.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Revolving loans are less common.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a1eqp9zm8r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Organization Type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common applicant backgrounds: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Entity Type 3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Self-employed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Medicine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Least common: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 Types 8, 6, 10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Religion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Trade Type 5 &amp; Type 4</w:t>
        <w:br w:type="textWrapping"/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69rifp81ct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5.2 Univariate Numerical Analysis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v5kkztg5nq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Income, Credit, and Annuity Amount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Box plots indicate: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outliers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income, credit, and annuity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 amount distribution is skewed—most loans lie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lower quartile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defaulters: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Income is concentrated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lower brackets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 amounts show more small-value loans</w:t>
        <w:br w:type="textWrapping"/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kquwlu7nzx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Bivariate Analysis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2g4jsl91vl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 Education vs Credit Amount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Degree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family status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civil marriage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married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separated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higher credit amounts.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education groups contain several outliers indicating large loan variations.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4av9ecglaj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6.2 Income vs Education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Higher education → consistent income across family statuses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Academic degree → slightly higher median income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Lower secondary → lowest income group</w:t>
        <w:br w:type="textWrapping"/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96cy77x0pd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Merging With Previous Loans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mfd4cjlcvhj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Cleaned previous loans merged on SK_ID_CURR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merged dataset rows: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51,420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include: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annuity, credit amount, goods price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Loan purpose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status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type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industry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uua3cc0wj3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Insights From Previous Loan Behavior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5qpha7xjf6n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Loan Purpose vs Contract Status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Repairs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Balanced approval/rejection: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rejection: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Paying other loans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Buying a new car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516b5oa1g57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Loan Purpose vs Target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Highest default risk: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Repairs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Lowest default risk: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Buying land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Buying garage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development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7qw2ps4vwk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Previous Credit vs Housing Type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Co-op apartments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higher default rates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 parents</w:t>
      </w:r>
      <w:r w:rsidDel="00000000" w:rsidR="00000000" w:rsidRPr="00000000">
        <w:rPr>
          <w:rFonts w:ascii="Cardo" w:cs="Cardo" w:eastAsia="Cardo" w:hAnsi="Cardo"/>
          <w:rtl w:val="0"/>
        </w:rPr>
        <w:t xml:space="preserve"> have very low default tendencies → safest group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Office apartments show higher credit amounts but are low risk</w:t>
        <w:br w:type="textWrapping"/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u2mwnkji8b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Multivariate Analysis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gxq4q467k4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Income vs Credit Amount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Non-defaulters tend to have slightly higher credit values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Defaulters mainly cluster in low income + low credit zone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pdni1lj53wk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Age Group vs Occupation Default Rate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Younger groups show slightly higher default variations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occupations (e.g., laborers) show consistently higher default rates</w:t>
        <w:br w:type="textWrapping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hquyulgadk3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Hypothesis Testing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009daxu4tj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1: Do defaulters have lower income?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Yes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p-value &lt; 0.05 → reject H₀</w:t>
        <w:br w:type="textWrapping"/>
        <w:t xml:space="preserve"> Defaulters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significantly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earn less than non-defaulters.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lrdn59uay5g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2: Is default rate different across genders?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Yes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p-value &lt; 0.05 → default rate varies by gender.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as9s0hvml0e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3: Is education related to default?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Yes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p-value &lt; 0.05 → education level influences default likelihood.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zmaxy1f1am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Test 4: Is company default rate &gt; 10%?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Yes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Proportion test shows actual default rate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greater than 10%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lcu2kckxn4j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Key Findings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ti4nkxv1wr7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High-Risk Groups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Income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Working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Loan Purpose: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Repairs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Housing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Co-op apartment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Gender: Higher defaults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males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Income Bracket: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0–100k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 risky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2ddtt12hny4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Low-Risk Groups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Income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Student, Pensioner, Businessman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 parents, House/Apartment, Municipal apartment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Loan Purpose: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Education, Business development, Buying land/garage</w:t>
        <w:br w:type="textWrapping"/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6av328fzbut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 Recommendations for Banks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fklbqu6dpeg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Focus on Lower-Risk Customer Segments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Families living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 parents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Education-related loan seekers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Applicants with higher education levels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mu12jt2er8b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Avoid risky loan categories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Housing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Co-op apartments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Loan purpose: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Repairs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yudb2whu4x7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Strengthen risk scoring for: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Male applicants in low-income groups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individuals with prior rejected applications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Applicants with multiple small loans (higher default correlation)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ssiu4y60apv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Improve default prediction models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income bins, credit range, loan purpose, and occupation as key features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previous loan contract status for risk profiling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2ajocn2x8s1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Offer targeted financial counseling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low-income borrowers (high-risk group)</w:t>
        <w:br w:type="textWrapping"/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a9gcy5y3ijj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 Conclusion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case study shows clear patterns in applicant demographics, income, loan purpose, and previous credit performance that influence loan repayment behavior.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Banks should adopt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data-driven credit scoring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consider customer background, loan type, and housing situation to reduce default rates. By strategically focusing on low-risk categories and tightening checks on high-risk groups, loan portfolios can be made more secure and profitable.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