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jc w:val="center"/>
      </w:pPr>
      <w:r>
        <w:rPr>
          <w:rFonts w:ascii="Aptos Display" w:hAnsi="Aptos Display"/>
          <w:b/>
          <w:color w:val="18375F"/>
          <w:sz w:val="56"/>
        </w:rPr>
        <w:t>FRAUD TRANSACTION</w:t>
        <w:br/>
        <w:t>PATTERN ANALYSIS</w:t>
      </w:r>
    </w:p>
    <w:p>
      <w:pPr>
        <w:jc w:val="center"/>
      </w:pPr>
      <w:r>
        <w:rPr>
          <w:rFonts w:ascii="Aptos Display" w:hAnsi="Aptos Display"/>
          <w:color w:val="235A8C"/>
          <w:sz w:val="34"/>
        </w:rPr>
        <w:t>&amp; Risk Monitoring Dashboard</w:t>
      </w:r>
    </w:p>
    <w:p>
      <w:pPr>
        <w:spacing w:before="360"/>
        <w:jc w:val="center"/>
      </w:pPr>
      <w:r>
        <w:rPr>
          <w:i/>
          <w:sz w:val="22"/>
        </w:rPr>
        <w:t>Project Report | Exploratory Fraud Pattern Analysis</w:t>
      </w:r>
    </w:p>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8375F"/>
          </w:tcPr>
          <w:p>
            <w:pPr>
              <w:spacing w:after="0"/>
            </w:pPr>
            <w:r/>
            <w:r>
              <w:rPr>
                <w:rFonts w:ascii="Aptos" w:hAnsi="Aptos"/>
                <w:b/>
                <w:color w:val="FFFFFF"/>
                <w:sz w:val="18"/>
              </w:rPr>
              <w:t>Business question</w:t>
            </w:r>
          </w:p>
        </w:tc>
        <w:tc>
          <w:tcPr>
            <w:tcW w:type="dxa" w:w="4968"/>
            <w:vAlign w:val="center"/>
            <w:shd w:fill="F2F6FA"/>
          </w:tcPr>
          <w:p>
            <w:pPr>
              <w:spacing w:after="0"/>
            </w:pPr>
            <w:r/>
            <w:r>
              <w:rPr>
                <w:rFonts w:ascii="Aptos" w:hAnsi="Aptos"/>
                <w:b w:val="0"/>
                <w:sz w:val="18"/>
              </w:rPr>
              <w:t>Which transaction patterns consistently signal fraudulent behaviour, and what triggers could be used in a real-time fraud alert system?</w:t>
            </w:r>
          </w:p>
        </w:tc>
      </w:tr>
      <w:tr>
        <w:tc>
          <w:tcPr>
            <w:tcW w:type="dxa" w:w="4968"/>
            <w:vAlign w:val="center"/>
            <w:shd w:fill="18375F"/>
          </w:tcPr>
          <w:p>
            <w:pPr>
              <w:spacing w:after="0"/>
            </w:pPr>
            <w:r/>
            <w:r>
              <w:rPr>
                <w:rFonts w:ascii="Aptos" w:hAnsi="Aptos"/>
                <w:b/>
                <w:color w:val="FFFFFF"/>
                <w:sz w:val="18"/>
              </w:rPr>
              <w:t>Tools used</w:t>
            </w:r>
          </w:p>
        </w:tc>
        <w:tc>
          <w:tcPr>
            <w:tcW w:type="dxa" w:w="4968"/>
            <w:vAlign w:val="center"/>
            <w:shd w:fill="F2F6FA"/>
          </w:tcPr>
          <w:p>
            <w:pPr>
              <w:spacing w:after="0"/>
            </w:pPr>
            <w:r/>
            <w:r>
              <w:rPr>
                <w:rFonts w:ascii="Aptos" w:hAnsi="Aptos"/>
                <w:b w:val="0"/>
                <w:sz w:val="18"/>
              </w:rPr>
              <w:t>Python (Pandas, Matplotlib) and Microsoft Power BI</w:t>
            </w:r>
          </w:p>
        </w:tc>
      </w:tr>
      <w:tr>
        <w:tc>
          <w:tcPr>
            <w:tcW w:type="dxa" w:w="4968"/>
            <w:vAlign w:val="center"/>
            <w:shd w:fill="18375F"/>
          </w:tcPr>
          <w:p>
            <w:pPr>
              <w:spacing w:after="0"/>
            </w:pPr>
            <w:r/>
            <w:r>
              <w:rPr>
                <w:rFonts w:ascii="Aptos" w:hAnsi="Aptos"/>
                <w:b/>
                <w:color w:val="FFFFFF"/>
                <w:sz w:val="18"/>
              </w:rPr>
              <w:t>Analysis approach</w:t>
            </w:r>
          </w:p>
        </w:tc>
        <w:tc>
          <w:tcPr>
            <w:tcW w:type="dxa" w:w="4968"/>
            <w:vAlign w:val="center"/>
            <w:shd w:fill="F2F6FA"/>
          </w:tcPr>
          <w:p>
            <w:pPr>
              <w:spacing w:after="0"/>
            </w:pPr>
            <w:r/>
            <w:r>
              <w:rPr>
                <w:rFonts w:ascii="Aptos" w:hAnsi="Aptos"/>
                <w:b w:val="0"/>
                <w:sz w:val="18"/>
              </w:rPr>
              <w:t>Rule-based pattern analysis; no machine-learning model</w:t>
            </w:r>
          </w:p>
        </w:tc>
      </w:tr>
    </w:tbl>
    <w:p>
      <w:r>
        <w:br w:type="page"/>
      </w:r>
    </w:p>
    <w:p>
      <w:pPr>
        <w:pStyle w:val="Heading1"/>
      </w:pPr>
      <w:r>
        <w:t>1. Executive Summary</w:t>
      </w:r>
    </w:p>
    <w:p>
      <w:r>
        <w:t>This project explores transaction patterns that may help a fraud-monitoring team prioritize suspicious activity. The analysis uses a sample of 1,000 transactions, including 69 records labelled as fraud, for an observed fraud rate of 6.90%. Python was used to prepare features and examine time, amount, and geographic patterns. Power BI was used to present the results in an interactive dashboard with KPI cards, charts, and slicers.</w:t>
      </w:r>
    </w:p>
    <w:p>
      <w:r>
        <w:t>The strongest standalone signal in this sample was a transaction amount of 1,000 or more: 40.00% of transactions in that band were labelled as fraud. Transactions at least 250 km from the reference location had an observed fraud rate of 10.99%, while transactions during the selected late-night hours (22:00, 00:00, 01:00, and 02:00) had an observed fraud rate of 15.08%. These patterns are useful for investigation and prioritization, but they should not be treated as proof that a transaction is fraudulent.</w:t>
      </w:r>
    </w:p>
    <w:p>
      <w:pPr>
        <w:pStyle w:val="Heading1"/>
      </w:pPr>
      <w:r>
        <w:t>2. Project Objectives</w:t>
      </w:r>
    </w:p>
    <w:p>
      <w:pPr>
        <w:pStyle w:val="ListBullet"/>
      </w:pPr>
      <w:r>
        <w:t>Identify time-based patterns associated with labelled fraudulent transactions.</w:t>
      </w:r>
    </w:p>
    <w:p>
      <w:pPr>
        <w:pStyle w:val="ListBullet"/>
      </w:pPr>
      <w:r>
        <w:t>Compare transaction amount ranges and their observed fraud rates.</w:t>
      </w:r>
    </w:p>
    <w:p>
      <w:pPr>
        <w:pStyle w:val="ListBullet"/>
      </w:pPr>
      <w:r>
        <w:t>Explore geographic-distance patterns and other transaction attributes.</w:t>
      </w:r>
    </w:p>
    <w:p>
      <w:pPr>
        <w:pStyle w:val="ListBullet"/>
      </w:pPr>
      <w:r>
        <w:t>Create transparent candidate alert rules that can be explained to business stakeholders.</w:t>
      </w:r>
    </w:p>
    <w:p>
      <w:pPr>
        <w:pStyle w:val="ListBullet"/>
      </w:pPr>
      <w:r>
        <w:t>Build an interactive Power BI dashboard to explore fraud counts, rates, and alert priorities.</w:t>
      </w:r>
    </w:p>
    <w:p>
      <w:pPr>
        <w:pStyle w:val="Heading1"/>
      </w:pPr>
      <w:r>
        <w:t>3. Tools and Methodology</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235A8C"/>
          </w:tcPr>
          <w:p>
            <w:pPr>
              <w:spacing w:after="0"/>
            </w:pPr>
            <w:r/>
            <w:r>
              <w:rPr>
                <w:rFonts w:ascii="Aptos" w:hAnsi="Aptos"/>
                <w:b/>
                <w:color w:val="FFFFFF"/>
                <w:sz w:val="18"/>
              </w:rPr>
              <w:t>Tool / Method</w:t>
            </w:r>
          </w:p>
        </w:tc>
        <w:tc>
          <w:tcPr>
            <w:tcW w:type="dxa" w:w="4968"/>
            <w:vAlign w:val="center"/>
            <w:shd w:fill="235A8C"/>
          </w:tcPr>
          <w:p>
            <w:pPr>
              <w:spacing w:after="0"/>
            </w:pPr>
            <w:r/>
            <w:r>
              <w:rPr>
                <w:rFonts w:ascii="Aptos" w:hAnsi="Aptos"/>
                <w:b/>
                <w:color w:val="FFFFFF"/>
                <w:sz w:val="18"/>
              </w:rPr>
              <w:t>Purpose</w:t>
            </w:r>
          </w:p>
        </w:tc>
      </w:tr>
      <w:tr>
        <w:tc>
          <w:tcPr>
            <w:tcW w:type="dxa" w:w="4968"/>
            <w:vAlign w:val="center"/>
          </w:tcPr>
          <w:p>
            <w:pPr>
              <w:spacing w:after="0"/>
            </w:pPr>
            <w:r/>
            <w:r>
              <w:rPr>
                <w:rFonts w:ascii="Aptos" w:hAnsi="Aptos"/>
                <w:b/>
                <w:sz w:val="18"/>
              </w:rPr>
              <w:t>Python / Pandas</w:t>
            </w:r>
          </w:p>
        </w:tc>
        <w:tc>
          <w:tcPr>
            <w:tcW w:type="dxa" w:w="4968"/>
            <w:vAlign w:val="center"/>
          </w:tcPr>
          <w:p>
            <w:pPr>
              <w:spacing w:after="0"/>
            </w:pPr>
            <w:r/>
            <w:r>
              <w:rPr>
                <w:rFonts w:ascii="Aptos" w:hAnsi="Aptos"/>
                <w:b w:val="0"/>
                <w:sz w:val="18"/>
              </w:rPr>
              <w:t>Data cleaning, feature engineering, grouping, fraud-rate calculations, and rule evaluation.</w:t>
            </w:r>
          </w:p>
        </w:tc>
      </w:tr>
      <w:tr>
        <w:tc>
          <w:tcPr>
            <w:tcW w:type="dxa" w:w="4968"/>
            <w:vAlign w:val="center"/>
          </w:tcPr>
          <w:p>
            <w:pPr>
              <w:spacing w:after="0"/>
            </w:pPr>
            <w:r/>
            <w:r>
              <w:rPr>
                <w:rFonts w:ascii="Aptos" w:hAnsi="Aptos"/>
                <w:b/>
                <w:sz w:val="18"/>
              </w:rPr>
              <w:t>Matplotlib</w:t>
            </w:r>
          </w:p>
        </w:tc>
        <w:tc>
          <w:tcPr>
            <w:tcW w:type="dxa" w:w="4968"/>
            <w:vAlign w:val="center"/>
          </w:tcPr>
          <w:p>
            <w:pPr>
              <w:spacing w:after="0"/>
            </w:pPr>
            <w:r/>
            <w:r>
              <w:rPr>
                <w:rFonts w:ascii="Aptos" w:hAnsi="Aptos"/>
                <w:b w:val="0"/>
                <w:sz w:val="18"/>
              </w:rPr>
              <w:t>Exploratory charts to compare fraud patterns across time, amount, and distance.</w:t>
            </w:r>
          </w:p>
        </w:tc>
      </w:tr>
      <w:tr>
        <w:tc>
          <w:tcPr>
            <w:tcW w:type="dxa" w:w="4968"/>
            <w:vAlign w:val="center"/>
          </w:tcPr>
          <w:p>
            <w:pPr>
              <w:spacing w:after="0"/>
            </w:pPr>
            <w:r/>
            <w:r>
              <w:rPr>
                <w:rFonts w:ascii="Aptos" w:hAnsi="Aptos"/>
                <w:b/>
                <w:sz w:val="18"/>
              </w:rPr>
              <w:t>Power BI</w:t>
            </w:r>
          </w:p>
        </w:tc>
        <w:tc>
          <w:tcPr>
            <w:tcW w:type="dxa" w:w="4968"/>
            <w:vAlign w:val="center"/>
          </w:tcPr>
          <w:p>
            <w:pPr>
              <w:spacing w:after="0"/>
            </w:pPr>
            <w:r/>
            <w:r>
              <w:rPr>
                <w:rFonts w:ascii="Aptos" w:hAnsi="Aptos"/>
                <w:b w:val="0"/>
                <w:sz w:val="18"/>
              </w:rPr>
              <w:t>Interactive dashboard with KPI cards, category/time/amount/distance charts, alert-priority view, and slicers.</w:t>
            </w:r>
          </w:p>
        </w:tc>
      </w:tr>
      <w:tr>
        <w:tc>
          <w:tcPr>
            <w:tcW w:type="dxa" w:w="4968"/>
            <w:vAlign w:val="center"/>
          </w:tcPr>
          <w:p>
            <w:pPr>
              <w:spacing w:after="0"/>
            </w:pPr>
            <w:r/>
            <w:r>
              <w:rPr>
                <w:rFonts w:ascii="Aptos" w:hAnsi="Aptos"/>
                <w:b/>
                <w:sz w:val="18"/>
              </w:rPr>
              <w:t>Rule-based analysis</w:t>
            </w:r>
          </w:p>
        </w:tc>
        <w:tc>
          <w:tcPr>
            <w:tcW w:type="dxa" w:w="4968"/>
            <w:vAlign w:val="center"/>
          </w:tcPr>
          <w:p>
            <w:pPr>
              <w:spacing w:after="0"/>
            </w:pPr>
            <w:r/>
            <w:r>
              <w:rPr>
                <w:rFonts w:ascii="Aptos" w:hAnsi="Aptos"/>
                <w:b w:val="0"/>
                <w:sz w:val="18"/>
              </w:rPr>
              <w:t>Transparent thresholds were applied to inspect patterns. No machine-learning model was trained.</w:t>
            </w:r>
          </w:p>
        </w:tc>
      </w:tr>
    </w:tbl>
    <w:p>
      <w:pPr>
        <w:pStyle w:val="Heading1"/>
      </w:pPr>
      <w:r>
        <w:t>4. Dataset Overview and KPIs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235A8C"/>
          </w:tcPr>
          <w:p>
            <w:pPr>
              <w:spacing w:after="0"/>
            </w:pPr>
            <w:r/>
            <w:r>
              <w:rPr>
                <w:rFonts w:ascii="Aptos" w:hAnsi="Aptos"/>
                <w:b/>
                <w:color w:val="FFFFFF"/>
                <w:sz w:val="18"/>
              </w:rPr>
              <w:t>Metric</w:t>
            </w:r>
          </w:p>
        </w:tc>
        <w:tc>
          <w:tcPr>
            <w:tcW w:type="dxa" w:w="4968"/>
            <w:vAlign w:val="center"/>
            <w:shd w:fill="235A8C"/>
          </w:tcPr>
          <w:p>
            <w:pPr>
              <w:spacing w:after="0"/>
            </w:pPr>
            <w:r/>
            <w:r>
              <w:rPr>
                <w:rFonts w:ascii="Aptos" w:hAnsi="Aptos"/>
                <w:b/>
                <w:color w:val="FFFFFF"/>
                <w:sz w:val="18"/>
              </w:rPr>
              <w:t>Observed result</w:t>
            </w:r>
          </w:p>
        </w:tc>
      </w:tr>
      <w:tr>
        <w:tc>
          <w:tcPr>
            <w:tcW w:type="dxa" w:w="4968"/>
            <w:vAlign w:val="center"/>
          </w:tcPr>
          <w:p>
            <w:pPr>
              <w:spacing w:after="0"/>
            </w:pPr>
            <w:r/>
            <w:r>
              <w:rPr>
                <w:rFonts w:ascii="Aptos" w:hAnsi="Aptos"/>
                <w:b/>
                <w:sz w:val="18"/>
              </w:rPr>
              <w:t>Total transactions</w:t>
            </w:r>
          </w:p>
        </w:tc>
        <w:tc>
          <w:tcPr>
            <w:tcW w:type="dxa" w:w="4968"/>
            <w:vAlign w:val="center"/>
          </w:tcPr>
          <w:p>
            <w:pPr>
              <w:spacing w:after="0"/>
            </w:pPr>
            <w:r/>
            <w:r>
              <w:rPr>
                <w:rFonts w:ascii="Aptos" w:hAnsi="Aptos"/>
                <w:b w:val="0"/>
                <w:sz w:val="18"/>
              </w:rPr>
              <w:t>1,000</w:t>
            </w:r>
          </w:p>
        </w:tc>
      </w:tr>
      <w:tr>
        <w:tc>
          <w:tcPr>
            <w:tcW w:type="dxa" w:w="4968"/>
            <w:vAlign w:val="center"/>
          </w:tcPr>
          <w:p>
            <w:pPr>
              <w:spacing w:after="0"/>
            </w:pPr>
            <w:r/>
            <w:r>
              <w:rPr>
                <w:rFonts w:ascii="Aptos" w:hAnsi="Aptos"/>
                <w:b/>
                <w:sz w:val="18"/>
              </w:rPr>
              <w:t>Fraud transactions</w:t>
            </w:r>
          </w:p>
        </w:tc>
        <w:tc>
          <w:tcPr>
            <w:tcW w:type="dxa" w:w="4968"/>
            <w:vAlign w:val="center"/>
          </w:tcPr>
          <w:p>
            <w:pPr>
              <w:spacing w:after="0"/>
            </w:pPr>
            <w:r/>
            <w:r>
              <w:rPr>
                <w:rFonts w:ascii="Aptos" w:hAnsi="Aptos"/>
                <w:b w:val="0"/>
                <w:sz w:val="18"/>
              </w:rPr>
              <w:t>69</w:t>
            </w:r>
          </w:p>
        </w:tc>
      </w:tr>
      <w:tr>
        <w:tc>
          <w:tcPr>
            <w:tcW w:type="dxa" w:w="4968"/>
            <w:vAlign w:val="center"/>
          </w:tcPr>
          <w:p>
            <w:pPr>
              <w:spacing w:after="0"/>
            </w:pPr>
            <w:r/>
            <w:r>
              <w:rPr>
                <w:rFonts w:ascii="Aptos" w:hAnsi="Aptos"/>
                <w:b/>
                <w:sz w:val="18"/>
              </w:rPr>
              <w:t>Overall fraud rate</w:t>
            </w:r>
          </w:p>
        </w:tc>
        <w:tc>
          <w:tcPr>
            <w:tcW w:type="dxa" w:w="4968"/>
            <w:vAlign w:val="center"/>
          </w:tcPr>
          <w:p>
            <w:pPr>
              <w:spacing w:after="0"/>
            </w:pPr>
            <w:r/>
            <w:r>
              <w:rPr>
                <w:rFonts w:ascii="Aptos" w:hAnsi="Aptos"/>
                <w:b w:val="0"/>
                <w:sz w:val="18"/>
              </w:rPr>
              <w:t>6.90%</w:t>
            </w:r>
          </w:p>
        </w:tc>
      </w:tr>
      <w:tr>
        <w:tc>
          <w:tcPr>
            <w:tcW w:type="dxa" w:w="4968"/>
            <w:vAlign w:val="center"/>
          </w:tcPr>
          <w:p>
            <w:pPr>
              <w:spacing w:after="0"/>
            </w:pPr>
            <w:r/>
            <w:r>
              <w:rPr>
                <w:rFonts w:ascii="Aptos" w:hAnsi="Aptos"/>
                <w:b/>
                <w:sz w:val="18"/>
              </w:rPr>
              <w:t>Fraudulent transaction amount — mean</w:t>
            </w:r>
          </w:p>
        </w:tc>
        <w:tc>
          <w:tcPr>
            <w:tcW w:type="dxa" w:w="4968"/>
            <w:vAlign w:val="center"/>
          </w:tcPr>
          <w:p>
            <w:pPr>
              <w:spacing w:after="0"/>
            </w:pPr>
            <w:r/>
            <w:r>
              <w:rPr>
                <w:rFonts w:ascii="Aptos" w:hAnsi="Aptos"/>
                <w:b w:val="0"/>
                <w:sz w:val="18"/>
              </w:rPr>
              <w:t>442.32 (dataset currency units)</w:t>
            </w:r>
          </w:p>
        </w:tc>
      </w:tr>
      <w:tr>
        <w:tc>
          <w:tcPr>
            <w:tcW w:type="dxa" w:w="4968"/>
            <w:vAlign w:val="center"/>
          </w:tcPr>
          <w:p>
            <w:pPr>
              <w:spacing w:after="0"/>
            </w:pPr>
            <w:r/>
            <w:r>
              <w:rPr>
                <w:rFonts w:ascii="Aptos" w:hAnsi="Aptos"/>
                <w:b/>
                <w:sz w:val="18"/>
              </w:rPr>
              <w:t>Fraudulent transaction amount — median</w:t>
            </w:r>
          </w:p>
        </w:tc>
        <w:tc>
          <w:tcPr>
            <w:tcW w:type="dxa" w:w="4968"/>
            <w:vAlign w:val="center"/>
          </w:tcPr>
          <w:p>
            <w:pPr>
              <w:spacing w:after="0"/>
            </w:pPr>
            <w:r/>
            <w:r>
              <w:rPr>
                <w:rFonts w:ascii="Aptos" w:hAnsi="Aptos"/>
                <w:b w:val="0"/>
                <w:sz w:val="18"/>
              </w:rPr>
              <w:t>67.69 (dataset currency units)</w:t>
            </w:r>
          </w:p>
        </w:tc>
      </w:tr>
    </w:tbl>
    <w:p>
      <w:pPr>
        <w:pStyle w:val="Heading1"/>
      </w:pPr>
      <w:r>
        <w:t>5. Key Findings</w:t>
      </w:r>
    </w:p>
    <w:p>
      <w:pPr>
        <w:pStyle w:val="Heading2"/>
      </w:pPr>
      <w:r>
        <w:t>5.1 Time-based patterns</w:t>
      </w:r>
    </w:p>
    <w:p>
      <w:r>
        <w:t>Fraud rates were elevated during several late-night hours in this sample. The observed rates were 17.95% at 22:00 (7 fraud-labelled transactions out of 39), 16.33% at 00:00 (8 out of 49), 12.50% at 01:00 (6 out of 48), and 13.95% at 02:00 (6 out of 43). The selected high-risk-hour rule groups 22:00, 00:00, 01:00, and 02:00 for review.</w:t>
      </w:r>
    </w:p>
    <w:p>
      <w:r>
        <w:t>Fraud rates also differed by weekday. Tuesday had an observed rate of 10.40% (13 of 125), followed by Wednesday at 8.96% (12 of 134) and Thursday at 8.84% (13 of 147). Friday had the lowest observed rate at 2.74% (4 of 146). These differences should be rechecked on a larger and more representative sample before operational use.</w:t>
      </w:r>
    </w:p>
    <w:p>
      <w:pPr>
        <w:pStyle w:val="Heading2"/>
      </w:pPr>
      <w:r>
        <w:t>5.2 Transaction amount patterns</w:t>
      </w:r>
    </w:p>
    <w:p>
      <w:r>
        <w:t>Transactions in the 1,000+ amount band showed a 40.00% observed fraud rate (16 fraud-labelled transactions out of 40). The 250–500 band had a rate of 21.43% (3 of 14), and the 500–1,000 band had a rate of 16.67% (1 of 6). The smaller counts in some high-value bands mean their rates may be unstable. High amount is a useful candidate signal, but amount alone would miss many fraud cases.</w:t>
      </w:r>
    </w:p>
    <w:p>
      <w:r>
        <w:t>The average amount among fraud-labelled transactions was 442.32, compared with a median of 67.69. This gap suggests that a relatively small number of large transactions may pull the average upward; the median gives additional context.</w:t>
      </w:r>
    </w:p>
    <w:p>
      <w:pPr>
        <w:pStyle w:val="Heading2"/>
      </w:pPr>
      <w:r>
        <w:t>5.3 Geographic-distance patterns</w:t>
      </w:r>
    </w:p>
    <w:p>
      <w:r>
        <w:t>Transactions at least 250 km from the reference location had an observed fraud rate of 10.99% (31 fraud-labelled transactions out of 282). The 100–250 km band had a rate of 5.71% (31 of 543). The 250+ km group accounted for 31 of the 69 fraud-labelled transactions in the sample, so distance may be useful as one signal among several.</w:t>
      </w:r>
    </w:p>
    <w:p>
      <w:pPr>
        <w:pStyle w:val="Heading1"/>
      </w:pPr>
      <w:r>
        <w:t>6. Candidate Alert Rules</w:t>
      </w:r>
    </w:p>
    <w:p>
      <w:r>
        <w:t>The following transparent rules were explored. They are candidate triggers for review, not production-ready fraud decisions.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235A8C"/>
          </w:tcPr>
          <w:p>
            <w:pPr>
              <w:spacing w:after="0"/>
            </w:pPr>
            <w:r/>
            <w:r>
              <w:rPr>
                <w:rFonts w:ascii="Aptos" w:hAnsi="Aptos"/>
                <w:b/>
                <w:color w:val="FFFFFF"/>
                <w:sz w:val="16"/>
              </w:rPr>
              <w:t>Candidate rule</w:t>
            </w:r>
          </w:p>
        </w:tc>
        <w:tc>
          <w:tcPr>
            <w:tcW w:type="dxa" w:w="3312"/>
            <w:vAlign w:val="center"/>
            <w:shd w:fill="235A8C"/>
          </w:tcPr>
          <w:p>
            <w:pPr>
              <w:spacing w:after="0"/>
            </w:pPr>
            <w:r/>
            <w:r>
              <w:rPr>
                <w:rFonts w:ascii="Aptos" w:hAnsi="Aptos"/>
                <w:b/>
                <w:color w:val="FFFFFF"/>
                <w:sz w:val="16"/>
              </w:rPr>
              <w:t>Trigger</w:t>
            </w:r>
          </w:p>
        </w:tc>
        <w:tc>
          <w:tcPr>
            <w:tcW w:type="dxa" w:w="3312"/>
            <w:vAlign w:val="center"/>
            <w:shd w:fill="235A8C"/>
          </w:tcPr>
          <w:p>
            <w:pPr>
              <w:spacing w:after="0"/>
            </w:pPr>
            <w:r/>
            <w:r>
              <w:rPr>
                <w:rFonts w:ascii="Aptos" w:hAnsi="Aptos"/>
                <w:b/>
                <w:color w:val="FFFFFF"/>
                <w:sz w:val="16"/>
              </w:rPr>
              <w:t>Observed result</w:t>
            </w:r>
          </w:p>
        </w:tc>
      </w:tr>
      <w:tr>
        <w:tc>
          <w:tcPr>
            <w:tcW w:type="dxa" w:w="3312"/>
            <w:vAlign w:val="center"/>
          </w:tcPr>
          <w:p>
            <w:pPr>
              <w:spacing w:after="0"/>
            </w:pPr>
            <w:r/>
            <w:r>
              <w:rPr>
                <w:rFonts w:ascii="Aptos" w:hAnsi="Aptos"/>
                <w:b/>
                <w:sz w:val="16"/>
              </w:rPr>
              <w:t>High amount</w:t>
            </w:r>
          </w:p>
        </w:tc>
        <w:tc>
          <w:tcPr>
            <w:tcW w:type="dxa" w:w="3312"/>
            <w:vAlign w:val="center"/>
          </w:tcPr>
          <w:p>
            <w:pPr>
              <w:spacing w:after="0"/>
            </w:pPr>
            <w:r/>
            <w:r>
              <w:rPr>
                <w:rFonts w:ascii="Aptos" w:hAnsi="Aptos"/>
                <w:b w:val="0"/>
                <w:sz w:val="16"/>
              </w:rPr>
              <w:t>Transaction amount ≥ 1,000</w:t>
            </w:r>
          </w:p>
        </w:tc>
        <w:tc>
          <w:tcPr>
            <w:tcW w:type="dxa" w:w="3312"/>
            <w:vAlign w:val="center"/>
          </w:tcPr>
          <w:p>
            <w:pPr>
              <w:spacing w:after="0"/>
            </w:pPr>
            <w:r/>
            <w:r>
              <w:rPr>
                <w:rFonts w:ascii="Aptos" w:hAnsi="Aptos"/>
                <w:b w:val="0"/>
                <w:sz w:val="16"/>
              </w:rPr>
              <w:t>40 flagged; 16 fraud-labelled; 40.00% precision; 23.19% of all fraud cases detected.</w:t>
            </w:r>
          </w:p>
        </w:tc>
      </w:tr>
      <w:tr>
        <w:tc>
          <w:tcPr>
            <w:tcW w:type="dxa" w:w="3312"/>
            <w:vAlign w:val="center"/>
          </w:tcPr>
          <w:p>
            <w:pPr>
              <w:spacing w:after="0"/>
            </w:pPr>
            <w:r/>
            <w:r>
              <w:rPr>
                <w:rFonts w:ascii="Aptos" w:hAnsi="Aptos"/>
                <w:b/>
                <w:sz w:val="16"/>
              </w:rPr>
              <w:t>Long distance</w:t>
            </w:r>
          </w:p>
        </w:tc>
        <w:tc>
          <w:tcPr>
            <w:tcW w:type="dxa" w:w="3312"/>
            <w:vAlign w:val="center"/>
          </w:tcPr>
          <w:p>
            <w:pPr>
              <w:spacing w:after="0"/>
            </w:pPr>
            <w:r/>
            <w:r>
              <w:rPr>
                <w:rFonts w:ascii="Aptos" w:hAnsi="Aptos"/>
                <w:b w:val="0"/>
                <w:sz w:val="16"/>
              </w:rPr>
              <w:t>Distance ≥ 250 km</w:t>
            </w:r>
          </w:p>
        </w:tc>
        <w:tc>
          <w:tcPr>
            <w:tcW w:type="dxa" w:w="3312"/>
            <w:vAlign w:val="center"/>
          </w:tcPr>
          <w:p>
            <w:pPr>
              <w:spacing w:after="0"/>
            </w:pPr>
            <w:r/>
            <w:r>
              <w:rPr>
                <w:rFonts w:ascii="Aptos" w:hAnsi="Aptos"/>
                <w:b w:val="0"/>
                <w:sz w:val="16"/>
              </w:rPr>
              <w:t>282 flagged; 31 fraud-labelled; 10.99% precision; 44.93% of all fraud cases detected.</w:t>
            </w:r>
          </w:p>
        </w:tc>
      </w:tr>
      <w:tr>
        <w:tc>
          <w:tcPr>
            <w:tcW w:type="dxa" w:w="3312"/>
            <w:vAlign w:val="center"/>
          </w:tcPr>
          <w:p>
            <w:pPr>
              <w:spacing w:after="0"/>
            </w:pPr>
            <w:r/>
            <w:r>
              <w:rPr>
                <w:rFonts w:ascii="Aptos" w:hAnsi="Aptos"/>
                <w:b/>
                <w:sz w:val="16"/>
              </w:rPr>
              <w:t>High-risk hour</w:t>
            </w:r>
          </w:p>
        </w:tc>
        <w:tc>
          <w:tcPr>
            <w:tcW w:type="dxa" w:w="3312"/>
            <w:vAlign w:val="center"/>
          </w:tcPr>
          <w:p>
            <w:pPr>
              <w:spacing w:after="0"/>
            </w:pPr>
            <w:r/>
            <w:r>
              <w:rPr>
                <w:rFonts w:ascii="Aptos" w:hAnsi="Aptos"/>
                <w:b w:val="0"/>
                <w:sz w:val="16"/>
              </w:rPr>
              <w:t>Hour is 22:00, 00:00, 01:00, or 02:00</w:t>
            </w:r>
          </w:p>
        </w:tc>
        <w:tc>
          <w:tcPr>
            <w:tcW w:type="dxa" w:w="3312"/>
            <w:vAlign w:val="center"/>
          </w:tcPr>
          <w:p>
            <w:pPr>
              <w:spacing w:after="0"/>
            </w:pPr>
            <w:r/>
            <w:r>
              <w:rPr>
                <w:rFonts w:ascii="Aptos" w:hAnsi="Aptos"/>
                <w:b w:val="0"/>
                <w:sz w:val="16"/>
              </w:rPr>
              <w:t>179 flagged; 27 fraud-labelled; 15.08% precision; 39.13% of all fraud cases detected.</w:t>
            </w:r>
          </w:p>
        </w:tc>
      </w:tr>
    </w:tbl>
    <w:p>
      <w:pPr>
        <w:pStyle w:val="Heading2"/>
      </w:pPr>
      <w:r>
        <w:t>6.1 Combined signal count</w:t>
      </w:r>
    </w:p>
    <w:p>
      <w:r>
        <w:t>The project also counted how many of the three candidate signals each transaction matched. In this sample, transactions with at least one signal included 52 of the 69 fraud-labelled cases (75.36% detection rate), but 374 of the 426 flagged transactions were legitimate. Transactions with at least two signals included 18 fraud-labelled cases among 71 flagged transactions (25.35% precision). All four transactions matching all three signals were labelled as fraud in this sample; however, four cases is a very small sample and does not establish that this rule will have 100% precision in future data.</w:t>
      </w:r>
    </w:p>
    <w:p>
      <w:pPr>
        <w:pStyle w:val="Heading2"/>
      </w:pPr>
      <w:r>
        <w:t>6.2 Suggested triage priorities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235A8C"/>
          </w:tcPr>
          <w:p>
            <w:pPr>
              <w:spacing w:after="0"/>
            </w:pPr>
            <w:r/>
            <w:r>
              <w:rPr>
                <w:rFonts w:ascii="Aptos" w:hAnsi="Aptos"/>
                <w:b/>
                <w:color w:val="FFFFFF"/>
                <w:sz w:val="16"/>
              </w:rPr>
              <w:t>Priority</w:t>
            </w:r>
          </w:p>
        </w:tc>
        <w:tc>
          <w:tcPr>
            <w:tcW w:type="dxa" w:w="3312"/>
            <w:vAlign w:val="center"/>
            <w:shd w:fill="235A8C"/>
          </w:tcPr>
          <w:p>
            <w:pPr>
              <w:spacing w:after="0"/>
            </w:pPr>
            <w:r/>
            <w:r>
              <w:rPr>
                <w:rFonts w:ascii="Aptos" w:hAnsi="Aptos"/>
                <w:b/>
                <w:color w:val="FFFFFF"/>
                <w:sz w:val="16"/>
              </w:rPr>
              <w:t>Illustrative definition</w:t>
            </w:r>
          </w:p>
        </w:tc>
        <w:tc>
          <w:tcPr>
            <w:tcW w:type="dxa" w:w="3312"/>
            <w:vAlign w:val="center"/>
            <w:shd w:fill="235A8C"/>
          </w:tcPr>
          <w:p>
            <w:pPr>
              <w:spacing w:after="0"/>
            </w:pPr>
            <w:r/>
            <w:r>
              <w:rPr>
                <w:rFonts w:ascii="Aptos" w:hAnsi="Aptos"/>
                <w:b/>
                <w:color w:val="FFFFFF"/>
                <w:sz w:val="16"/>
              </w:rPr>
              <w:t>Suggested action</w:t>
            </w:r>
          </w:p>
        </w:tc>
      </w:tr>
      <w:tr>
        <w:tc>
          <w:tcPr>
            <w:tcW w:type="dxa" w:w="3312"/>
            <w:vAlign w:val="center"/>
          </w:tcPr>
          <w:p>
            <w:pPr>
              <w:spacing w:after="0"/>
            </w:pPr>
            <w:r/>
            <w:r>
              <w:rPr>
                <w:rFonts w:ascii="Aptos" w:hAnsi="Aptos"/>
                <w:b/>
                <w:sz w:val="16"/>
              </w:rPr>
              <w:t>Critical</w:t>
            </w:r>
          </w:p>
        </w:tc>
        <w:tc>
          <w:tcPr>
            <w:tcW w:type="dxa" w:w="3312"/>
            <w:vAlign w:val="center"/>
          </w:tcPr>
          <w:p>
            <w:pPr>
              <w:spacing w:after="0"/>
            </w:pPr>
            <w:r/>
            <w:r>
              <w:rPr>
                <w:rFonts w:ascii="Aptos" w:hAnsi="Aptos"/>
                <w:b w:val="0"/>
                <w:sz w:val="16"/>
              </w:rPr>
              <w:t>All three candidate signals</w:t>
            </w:r>
          </w:p>
        </w:tc>
        <w:tc>
          <w:tcPr>
            <w:tcW w:type="dxa" w:w="3312"/>
            <w:vAlign w:val="center"/>
          </w:tcPr>
          <w:p>
            <w:pPr>
              <w:spacing w:after="0"/>
            </w:pPr>
            <w:r/>
            <w:r>
              <w:rPr>
                <w:rFonts w:ascii="Aptos" w:hAnsi="Aptos"/>
                <w:b w:val="0"/>
                <w:sz w:val="16"/>
              </w:rPr>
              <w:t>Urgent manual review; verify context before blocking.</w:t>
            </w:r>
          </w:p>
        </w:tc>
      </w:tr>
      <w:tr>
        <w:tc>
          <w:tcPr>
            <w:tcW w:type="dxa" w:w="3312"/>
            <w:vAlign w:val="center"/>
          </w:tcPr>
          <w:p>
            <w:pPr>
              <w:spacing w:after="0"/>
            </w:pPr>
            <w:r/>
            <w:r>
              <w:rPr>
                <w:rFonts w:ascii="Aptos" w:hAnsi="Aptos"/>
                <w:b/>
                <w:sz w:val="16"/>
              </w:rPr>
              <w:t>High</w:t>
            </w:r>
          </w:p>
        </w:tc>
        <w:tc>
          <w:tcPr>
            <w:tcW w:type="dxa" w:w="3312"/>
            <w:vAlign w:val="center"/>
          </w:tcPr>
          <w:p>
            <w:pPr>
              <w:spacing w:after="0"/>
            </w:pPr>
            <w:r/>
            <w:r>
              <w:rPr>
                <w:rFonts w:ascii="Aptos" w:hAnsi="Aptos"/>
                <w:b w:val="0"/>
                <w:sz w:val="16"/>
              </w:rPr>
              <w:t>Two candidate signals</w:t>
            </w:r>
          </w:p>
        </w:tc>
        <w:tc>
          <w:tcPr>
            <w:tcW w:type="dxa" w:w="3312"/>
            <w:vAlign w:val="center"/>
          </w:tcPr>
          <w:p>
            <w:pPr>
              <w:spacing w:after="0"/>
            </w:pPr>
            <w:r/>
            <w:r>
              <w:rPr>
                <w:rFonts w:ascii="Aptos" w:hAnsi="Aptos"/>
                <w:b w:val="0"/>
                <w:sz w:val="16"/>
              </w:rPr>
              <w:t>Prioritize for prompt review or step-up verification.</w:t>
            </w:r>
          </w:p>
        </w:tc>
      </w:tr>
      <w:tr>
        <w:tc>
          <w:tcPr>
            <w:tcW w:type="dxa" w:w="3312"/>
            <w:vAlign w:val="center"/>
          </w:tcPr>
          <w:p>
            <w:pPr>
              <w:spacing w:after="0"/>
            </w:pPr>
            <w:r/>
            <w:r>
              <w:rPr>
                <w:rFonts w:ascii="Aptos" w:hAnsi="Aptos"/>
                <w:b/>
                <w:sz w:val="16"/>
              </w:rPr>
              <w:t>Medium</w:t>
            </w:r>
          </w:p>
        </w:tc>
        <w:tc>
          <w:tcPr>
            <w:tcW w:type="dxa" w:w="3312"/>
            <w:vAlign w:val="center"/>
          </w:tcPr>
          <w:p>
            <w:pPr>
              <w:spacing w:after="0"/>
            </w:pPr>
            <w:r/>
            <w:r>
              <w:rPr>
                <w:rFonts w:ascii="Aptos" w:hAnsi="Aptos"/>
                <w:b w:val="0"/>
                <w:sz w:val="16"/>
              </w:rPr>
              <w:t>One candidate signal</w:t>
            </w:r>
          </w:p>
        </w:tc>
        <w:tc>
          <w:tcPr>
            <w:tcW w:type="dxa" w:w="3312"/>
            <w:vAlign w:val="center"/>
          </w:tcPr>
          <w:p>
            <w:pPr>
              <w:spacing w:after="0"/>
            </w:pPr>
            <w:r/>
            <w:r>
              <w:rPr>
                <w:rFonts w:ascii="Aptos" w:hAnsi="Aptos"/>
                <w:b w:val="0"/>
                <w:sz w:val="16"/>
              </w:rPr>
              <w:t>Apply additional checks or monitor for further signals.</w:t>
            </w:r>
          </w:p>
        </w:tc>
      </w:tr>
      <w:tr>
        <w:tc>
          <w:tcPr>
            <w:tcW w:type="dxa" w:w="3312"/>
            <w:vAlign w:val="center"/>
          </w:tcPr>
          <w:p>
            <w:pPr>
              <w:spacing w:after="0"/>
            </w:pPr>
            <w:r/>
            <w:r>
              <w:rPr>
                <w:rFonts w:ascii="Aptos" w:hAnsi="Aptos"/>
                <w:b/>
                <w:sz w:val="16"/>
              </w:rPr>
              <w:t>No candidate signal</w:t>
            </w:r>
          </w:p>
        </w:tc>
        <w:tc>
          <w:tcPr>
            <w:tcW w:type="dxa" w:w="3312"/>
            <w:vAlign w:val="center"/>
          </w:tcPr>
          <w:p>
            <w:pPr>
              <w:spacing w:after="0"/>
            </w:pPr>
            <w:r/>
            <w:r>
              <w:rPr>
                <w:rFonts w:ascii="Aptos" w:hAnsi="Aptos"/>
                <w:b w:val="0"/>
                <w:sz w:val="16"/>
              </w:rPr>
              <w:t>None of the three rules matched</w:t>
            </w:r>
          </w:p>
        </w:tc>
        <w:tc>
          <w:tcPr>
            <w:tcW w:type="dxa" w:w="3312"/>
            <w:vAlign w:val="center"/>
          </w:tcPr>
          <w:p>
            <w:pPr>
              <w:spacing w:after="0"/>
            </w:pPr>
            <w:r/>
            <w:r>
              <w:rPr>
                <w:rFonts w:ascii="Aptos" w:hAnsi="Aptos"/>
                <w:b w:val="0"/>
                <w:sz w:val="16"/>
              </w:rPr>
              <w:t>Continue standard monitoring; absence of these signals does not mean no risk.</w:t>
            </w:r>
          </w:p>
        </w:tc>
      </w:tr>
    </w:tbl>
    <w:p>
      <w:pPr>
        <w:pStyle w:val="Heading1"/>
      </w:pPr>
      <w:r>
        <w:t>7. Business Recommendations</w:t>
      </w:r>
    </w:p>
    <w:p>
      <w:pPr>
        <w:pStyle w:val="ListBullet"/>
      </w:pPr>
      <w:r>
        <w:t>Use the amount, time, and distance signals together as triage indicators rather than treating any single signal as proof of fraud.</w:t>
      </w:r>
    </w:p>
    <w:p>
      <w:pPr>
        <w:pStyle w:val="ListBullet"/>
      </w:pPr>
      <w:r>
        <w:t>Consider step-up verification for high-priority transactions, such as an additional authentication check, where appropriate to the business.</w:t>
      </w:r>
    </w:p>
    <w:p>
      <w:pPr>
        <w:pStyle w:val="ListBullet"/>
      </w:pPr>
      <w:r>
        <w:t>Monitor both fraud detection and false-positive burden. A rule that flags many legitimate customers can create friction and review costs.</w:t>
      </w:r>
    </w:p>
    <w:p>
      <w:pPr>
        <w:pStyle w:val="ListBullet"/>
      </w:pPr>
      <w:r>
        <w:t>Review thresholds by product, customer segment, geography, and transaction channel before deploying them.</w:t>
      </w:r>
    </w:p>
    <w:p>
      <w:pPr>
        <w:pStyle w:val="ListBullet"/>
      </w:pPr>
      <w:r>
        <w:t>Keep human review and clear escalation procedures for high-risk alerts; do not automatically decline transactions solely on these exploratory results.</w:t>
      </w:r>
    </w:p>
    <w:p>
      <w:pPr>
        <w:pStyle w:val="ListBullet"/>
      </w:pPr>
      <w:r>
        <w:t>Reassess thresholds regularly as fraud patterns and customer behaviour change.</w:t>
      </w:r>
    </w:p>
    <w:p>
      <w:pPr>
        <w:pStyle w:val="Heading1"/>
      </w:pPr>
      <w:r>
        <w:t>8. Dashboard Overview</w:t>
      </w:r>
    </w:p>
    <w:p>
      <w:r>
        <w:t>The Power BI report presents four KPI cards—Total Transactions, Fraud Transactions, Fraud Rate (%), and Fraud Amount—and charts for fraud by hour, category, day of week, amount range, alert priority, and geographic distance range. Category and alert-priority slicers allow users to interactively filter the report and explore different subsets of transactions.</w:t>
      </w:r>
    </w:p>
    <w:p>
      <w:pPr>
        <w:pStyle w:val="Heading1"/>
      </w:pPr>
      <w:r>
        <w:t>9. Limitations and Responsible Use</w:t>
      </w:r>
    </w:p>
    <w:p>
      <w:pPr>
        <w:pStyle w:val="ListBullet"/>
      </w:pPr>
      <w:r>
        <w:t>The analysis covers 1,000 transactions and 69 fraud-labelled cases; results may not generalize to a larger or different population.</w:t>
      </w:r>
    </w:p>
    <w:p>
      <w:pPr>
        <w:pStyle w:val="ListBullet"/>
      </w:pPr>
      <w:r>
        <w:t>The findings are retrospective and exploratory. They have not been validated on a separate holdout dataset or in a live alerting environment.</w:t>
      </w:r>
    </w:p>
    <w:p>
      <w:pPr>
        <w:pStyle w:val="ListBullet"/>
      </w:pPr>
      <w:r>
        <w:t>Precision and detection rates are sample-specific and will change as transaction mix and fraud behaviour change.</w:t>
      </w:r>
    </w:p>
    <w:p>
      <w:pPr>
        <w:pStyle w:val="ListBullet"/>
      </w:pPr>
      <w:r>
        <w:t>Some amount bands contain very few transactions, so their observed rates are particularly uncertain.</w:t>
      </w:r>
    </w:p>
    <w:p>
      <w:pPr>
        <w:pStyle w:val="ListBullet"/>
      </w:pPr>
      <w:r>
        <w:t>The analysis does not establish causation. Late-night timing, large amount, or distance alone does not prove fraudulent intent.</w:t>
      </w:r>
    </w:p>
    <w:p>
      <w:pPr>
        <w:pStyle w:val="ListBullet"/>
      </w:pPr>
      <w:r>
        <w:t>Before operational use, test rules on recent historical data, measure false positives and missed fraud, and obtain appropriate business, compliance, and security review.</w:t>
      </w:r>
    </w:p>
    <w:p>
      <w:pPr>
        <w:pStyle w:val="Heading1"/>
      </w:pPr>
      <w:r>
        <w:t>10. Conclusion</w:t>
      </w:r>
    </w:p>
    <w:p>
      <w:r>
        <w:t>This project demonstrates an explainable, non-ML approach to fraud pattern analysis using Python and Power BI. In the sample, high transaction amount, selected late-night hours, and long geographic distance were useful candidate signals. Combining signals helped prioritize a smaller group of transactions, while also showing the trade-off between catching more fraud and generating more false positives. The recommended next step is to validate the candidate rules on a larger, more representative dataset before using them for live decisions.</w:t>
      </w:r>
    </w:p>
    <w:p>
      <w:pPr>
        <w:pStyle w:val="Heading1"/>
      </w:pPr>
      <w:r>
        <w:t>Suggested portfolio description</w:t>
      </w:r>
    </w:p>
    <w:p>
      <w:r>
        <w:t>Built an end-to-end fraud transaction pattern analysis project using Python (Pandas, Matplotlib) and Power BI. Engineered time and geographic features, evaluated transparent amount/time/distance alert rules, quantified fraud patterns and false-positive trade-offs, and created an interactive dashboard with KPIs, charts, and slicers. No machine-learning model was used.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E7887"/>
        <w:sz w:val="16"/>
      </w:rPr>
      <w:t>Fraud Transaction Pattern Analysis | Project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74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8375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35A8C"/>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8375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