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75BC" w14:textId="77777777" w:rsidR="00E0123F" w:rsidRDefault="00000000">
      <w:pPr>
        <w:spacing w:after="100"/>
        <w:jc w:val="center"/>
      </w:pPr>
      <w:r>
        <w:rPr>
          <w:b/>
          <w:bCs/>
          <w:sz w:val="44"/>
          <w:szCs w:val="44"/>
        </w:rPr>
        <w:t>Internship Task Report</w:t>
      </w:r>
    </w:p>
    <w:p w14:paraId="165C8497" w14:textId="77777777" w:rsidR="00E0123F" w:rsidRDefault="00000000">
      <w:pPr>
        <w:spacing w:after="400"/>
        <w:jc w:val="center"/>
      </w:pPr>
      <w:r>
        <w:rPr>
          <w:i/>
          <w:iCs/>
          <w:sz w:val="26"/>
          <w:szCs w:val="26"/>
        </w:rPr>
        <w:t>Task 3: Data Visualization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E0123F" w14:paraId="25459077" w14:textId="77777777">
        <w:tc>
          <w:tcPr>
            <w:tcW w:w="2600" w:type="dxa"/>
            <w:shd w:val="clear" w:color="auto" w:fill="F2F2F2"/>
          </w:tcPr>
          <w:p w14:paraId="76575FC8" w14:textId="77777777" w:rsidR="00E0123F" w:rsidRDefault="00000000">
            <w:r>
              <w:rPr>
                <w:b/>
                <w:bCs/>
              </w:rPr>
              <w:t>Intern Name</w:t>
            </w:r>
          </w:p>
        </w:tc>
        <w:tc>
          <w:tcPr>
            <w:tcW w:w="6900" w:type="dxa"/>
          </w:tcPr>
          <w:p w14:paraId="11026E13" w14:textId="3385C7AF" w:rsidR="00E0123F" w:rsidRDefault="002D6C19">
            <w:r>
              <w:t>Priyal Rasal</w:t>
            </w:r>
          </w:p>
        </w:tc>
      </w:tr>
      <w:tr w:rsidR="00E0123F" w14:paraId="4C6275B0" w14:textId="77777777">
        <w:tc>
          <w:tcPr>
            <w:tcW w:w="2600" w:type="dxa"/>
            <w:shd w:val="clear" w:color="auto" w:fill="F2F2F2"/>
          </w:tcPr>
          <w:p w14:paraId="78C3FC98" w14:textId="77777777" w:rsidR="00E0123F" w:rsidRDefault="00000000">
            <w:r>
              <w:rPr>
                <w:b/>
                <w:bCs/>
              </w:rPr>
              <w:t>Internship Role</w:t>
            </w:r>
          </w:p>
        </w:tc>
        <w:tc>
          <w:tcPr>
            <w:tcW w:w="6900" w:type="dxa"/>
          </w:tcPr>
          <w:p w14:paraId="11BE4B7B" w14:textId="73FE323B" w:rsidR="00E0123F" w:rsidRDefault="00000000">
            <w:r>
              <w:t>Data Analyst Intern</w:t>
            </w:r>
          </w:p>
        </w:tc>
      </w:tr>
      <w:tr w:rsidR="00E0123F" w14:paraId="387A0109" w14:textId="77777777">
        <w:tc>
          <w:tcPr>
            <w:tcW w:w="2600" w:type="dxa"/>
            <w:shd w:val="clear" w:color="auto" w:fill="F2F2F2"/>
          </w:tcPr>
          <w:p w14:paraId="7849D021" w14:textId="77777777" w:rsidR="00E0123F" w:rsidRDefault="00000000">
            <w:r>
              <w:rPr>
                <w:b/>
                <w:bCs/>
              </w:rPr>
              <w:t>Supervisor</w:t>
            </w:r>
          </w:p>
        </w:tc>
        <w:tc>
          <w:tcPr>
            <w:tcW w:w="6900" w:type="dxa"/>
          </w:tcPr>
          <w:p w14:paraId="42C2711B" w14:textId="77777777" w:rsidR="00E0123F" w:rsidRDefault="00000000">
            <w:r>
              <w:t>[Supervisor Name]</w:t>
            </w:r>
          </w:p>
        </w:tc>
      </w:tr>
      <w:tr w:rsidR="00E0123F" w14:paraId="762ECFC5" w14:textId="77777777">
        <w:tc>
          <w:tcPr>
            <w:tcW w:w="2600" w:type="dxa"/>
            <w:shd w:val="clear" w:color="auto" w:fill="F2F2F2"/>
          </w:tcPr>
          <w:p w14:paraId="3B868326" w14:textId="77777777" w:rsidR="00E0123F" w:rsidRDefault="00000000">
            <w:r>
              <w:rPr>
                <w:b/>
                <w:bCs/>
              </w:rPr>
              <w:t>Date</w:t>
            </w:r>
          </w:p>
        </w:tc>
        <w:tc>
          <w:tcPr>
            <w:tcW w:w="6900" w:type="dxa"/>
          </w:tcPr>
          <w:p w14:paraId="32620A38" w14:textId="77777777" w:rsidR="00E0123F" w:rsidRDefault="00000000">
            <w:r>
              <w:t>September 1, 2026</w:t>
            </w:r>
          </w:p>
        </w:tc>
      </w:tr>
      <w:tr w:rsidR="00E0123F" w14:paraId="6CB3980E" w14:textId="77777777">
        <w:tc>
          <w:tcPr>
            <w:tcW w:w="2600" w:type="dxa"/>
            <w:shd w:val="clear" w:color="auto" w:fill="F2F2F2"/>
          </w:tcPr>
          <w:p w14:paraId="7CE5B911" w14:textId="77777777" w:rsidR="00E0123F" w:rsidRDefault="00000000">
            <w:r>
              <w:rPr>
                <w:b/>
                <w:bCs/>
              </w:rPr>
              <w:t>Dataset</w:t>
            </w:r>
          </w:p>
        </w:tc>
        <w:tc>
          <w:tcPr>
            <w:tcW w:w="6900" w:type="dxa"/>
          </w:tcPr>
          <w:p w14:paraId="13F9AECD" w14:textId="2B340443" w:rsidR="00E0123F" w:rsidRDefault="00011D2E">
            <w:r w:rsidRPr="00011D2E">
              <w:t>Global Superstore.csv</w:t>
            </w:r>
          </w:p>
        </w:tc>
      </w:tr>
    </w:tbl>
    <w:p w14:paraId="40DD4A05" w14:textId="77777777" w:rsidR="00E0123F" w:rsidRDefault="00000000">
      <w:pPr>
        <w:pStyle w:val="Heading1"/>
        <w:spacing w:before="300" w:after="150"/>
      </w:pPr>
      <w:r>
        <w:t>1. Objective</w:t>
      </w:r>
    </w:p>
    <w:p w14:paraId="046D8241" w14:textId="77777777" w:rsidR="00E0123F" w:rsidRDefault="00000000">
      <w:pPr>
        <w:spacing w:after="120"/>
      </w:pPr>
      <w:r>
        <w:t>Building on the Task 2 EDA findings, this task focused on transforming the cleaned retail sales data into clear, well-designed visuals using Python (Matplotlib and Seaborn) — turning raw numbers into a data story that supports business decision-making, and assembling the result into a small visualization portfolio.</w:t>
      </w:r>
    </w:p>
    <w:p w14:paraId="782AA252" w14:textId="77777777" w:rsidR="00E0123F" w:rsidRDefault="00000000">
      <w:pPr>
        <w:pStyle w:val="Heading1"/>
        <w:spacing w:before="300" w:after="150"/>
      </w:pPr>
      <w:r>
        <w:t>2. Tools Used</w:t>
      </w:r>
    </w:p>
    <w:p w14:paraId="16A21229" w14:textId="77777777" w:rsidR="00E0123F" w:rsidRDefault="00000000">
      <w:pPr>
        <w:pStyle w:val="ListParagraph"/>
        <w:numPr>
          <w:ilvl w:val="0"/>
          <w:numId w:val="2"/>
        </w:numPr>
        <w:spacing w:after="60"/>
      </w:pPr>
      <w:r>
        <w:t>Python 3 with pandas — for data preparation ahead of plotting</w:t>
      </w:r>
    </w:p>
    <w:p w14:paraId="629F77CC" w14:textId="77777777" w:rsidR="00E0123F" w:rsidRDefault="00000000">
      <w:pPr>
        <w:pStyle w:val="ListParagraph"/>
        <w:numPr>
          <w:ilvl w:val="0"/>
          <w:numId w:val="2"/>
        </w:numPr>
        <w:spacing w:after="60"/>
      </w:pPr>
      <w:r>
        <w:t>Matplotlib — for core chart rendering and layout control</w:t>
      </w:r>
    </w:p>
    <w:p w14:paraId="1AC3C333" w14:textId="77777777" w:rsidR="00E0123F" w:rsidRDefault="00000000">
      <w:pPr>
        <w:pStyle w:val="ListParagraph"/>
        <w:numPr>
          <w:ilvl w:val="0"/>
          <w:numId w:val="2"/>
        </w:numPr>
        <w:spacing w:after="60"/>
      </w:pPr>
      <w:r>
        <w:t>Seaborn — for statistical chart types (boxplot, heatmap) and consistent styling</w:t>
      </w:r>
    </w:p>
    <w:p w14:paraId="63243931" w14:textId="77777777" w:rsidR="00E0123F" w:rsidRDefault="00000000">
      <w:pPr>
        <w:spacing w:after="120"/>
      </w:pPr>
      <w:r>
        <w:t>Note: For an interactive, shareable dashboard version of this portfolio, the same charts could be rebuilt in Tableau or Power BI.</w:t>
      </w:r>
    </w:p>
    <w:p w14:paraId="7FB2F971" w14:textId="77777777" w:rsidR="00E0123F" w:rsidRDefault="00000000">
      <w:pPr>
        <w:pStyle w:val="Heading1"/>
        <w:spacing w:before="300" w:after="150"/>
      </w:pPr>
      <w:r>
        <w:t>3. Data Preparation</w:t>
      </w:r>
    </w:p>
    <w:p w14:paraId="101872CB" w14:textId="16C20F40" w:rsidR="00E0123F" w:rsidRDefault="00011D2E">
      <w:pPr>
        <w:spacing w:after="120"/>
      </w:pPr>
      <w:r w:rsidRPr="00011D2E">
        <w:t>Sales and Profit columns were converted to proper numeric types before analysis. Since the Order Date column contained invalid entries, the Year column was used instead for time-based trend analysis</w:t>
      </w:r>
      <w:r>
        <w:t>.</w:t>
      </w:r>
    </w:p>
    <w:p w14:paraId="14F88A46" w14:textId="77777777" w:rsidR="00E0123F" w:rsidRDefault="00000000">
      <w:pPr>
        <w:pStyle w:val="Heading1"/>
        <w:spacing w:before="300" w:after="150"/>
      </w:pPr>
      <w:r>
        <w:t>4. Visualizations</w:t>
      </w:r>
    </w:p>
    <w:p w14:paraId="1DDD5F92" w14:textId="07AC81D6" w:rsidR="00E0123F" w:rsidRDefault="00011D2E">
      <w:pPr>
        <w:pStyle w:val="Heading2"/>
        <w:spacing w:before="200" w:after="80"/>
      </w:pPr>
      <w:r>
        <w:t xml:space="preserve">        </w:t>
      </w:r>
      <w:r w:rsidRPr="00011D2E">
        <w:t>4.1 Yearly Sales Trend</w:t>
      </w:r>
    </w:p>
    <w:p w14:paraId="51F9577C" w14:textId="77777777" w:rsidR="00827BA6" w:rsidRDefault="00827BA6">
      <w:pPr>
        <w:spacing w:after="80"/>
        <w:jc w:val="center"/>
        <w:rPr>
          <w:noProof/>
        </w:rPr>
      </w:pPr>
    </w:p>
    <w:p w14:paraId="15213240" w14:textId="77777777" w:rsidR="00011D2E" w:rsidRDefault="00827BA6" w:rsidP="00011D2E">
      <w:pPr>
        <w:spacing w:after="80"/>
        <w:jc w:val="center"/>
        <w:rPr>
          <w:i/>
          <w:iCs/>
          <w:color w:val="555555"/>
          <w:sz w:val="18"/>
          <w:szCs w:val="18"/>
        </w:rPr>
      </w:pPr>
      <w:r w:rsidRPr="00827BA6">
        <w:rPr>
          <w:noProof/>
        </w:rPr>
        <w:drawing>
          <wp:inline distT="0" distB="0" distL="0" distR="0" wp14:anchorId="0825D897" wp14:editId="2EF2D819">
            <wp:extent cx="5882640" cy="2247900"/>
            <wp:effectExtent l="0" t="0" r="3810" b="0"/>
            <wp:docPr id="165581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1654" name=""/>
                    <pic:cNvPicPr/>
                  </pic:nvPicPr>
                  <pic:blipFill rotWithShape="1">
                    <a:blip r:embed="rId5"/>
                    <a:srcRect l="1025" t="35526" b="3545"/>
                    <a:stretch>
                      <a:fillRect/>
                    </a:stretch>
                  </pic:blipFill>
                  <pic:spPr bwMode="auto">
                    <a:xfrm>
                      <a:off x="0" y="0"/>
                      <a:ext cx="5882640" cy="2247900"/>
                    </a:xfrm>
                    <a:prstGeom prst="rect">
                      <a:avLst/>
                    </a:prstGeom>
                    <a:ln>
                      <a:noFill/>
                    </a:ln>
                    <a:extLst>
                      <a:ext uri="{53640926-AAD7-44D8-BBD7-CCE9431645EC}">
                        <a14:shadowObscured xmlns:a14="http://schemas.microsoft.com/office/drawing/2010/main"/>
                      </a:ext>
                    </a:extLst>
                  </pic:spPr>
                </pic:pic>
              </a:graphicData>
            </a:graphic>
          </wp:inline>
        </w:drawing>
      </w:r>
      <w:r w:rsidR="00011D2E" w:rsidRPr="00011D2E">
        <w:rPr>
          <w:i/>
          <w:iCs/>
          <w:color w:val="555555"/>
          <w:sz w:val="18"/>
          <w:szCs w:val="18"/>
        </w:rPr>
        <w:t xml:space="preserve">Figure 1 — Total sales by year, showing consistent growth from 2011 to 2014. </w:t>
      </w:r>
    </w:p>
    <w:p w14:paraId="158D030F" w14:textId="0EA96F58" w:rsidR="00011D2E" w:rsidRPr="00011D2E" w:rsidRDefault="00011D2E" w:rsidP="00A555B7">
      <w:pPr>
        <w:spacing w:after="80"/>
        <w:jc w:val="both"/>
        <w:rPr>
          <w:i/>
          <w:iCs/>
          <w:color w:val="555555"/>
          <w:sz w:val="18"/>
          <w:szCs w:val="18"/>
        </w:rPr>
      </w:pPr>
      <w:r w:rsidRPr="00011D2E">
        <w:lastRenderedPageBreak/>
        <w:t>Story: Sales grew steadily year over year, nearly doubling from 2011 to 2014. This consistent upward trend suggests healthy, sustained business growth rather than a one-time spike.</w:t>
      </w:r>
    </w:p>
    <w:p w14:paraId="246905FD" w14:textId="77777777" w:rsidR="00011D2E" w:rsidRDefault="00011D2E">
      <w:pPr>
        <w:pStyle w:val="Heading2"/>
        <w:spacing w:before="200" w:after="80"/>
        <w:rPr>
          <w:color w:val="auto"/>
          <w:sz w:val="20"/>
          <w:szCs w:val="20"/>
        </w:rPr>
      </w:pPr>
      <w:r>
        <w:rPr>
          <w:color w:val="auto"/>
          <w:sz w:val="20"/>
          <w:szCs w:val="20"/>
        </w:rPr>
        <w:t xml:space="preserve">     </w:t>
      </w:r>
    </w:p>
    <w:p w14:paraId="7F8E8376" w14:textId="0D80E1F4" w:rsidR="00E0123F" w:rsidRDefault="00011D2E">
      <w:pPr>
        <w:pStyle w:val="Heading2"/>
        <w:spacing w:before="200" w:after="80"/>
      </w:pPr>
      <w:r>
        <w:t xml:space="preserve">  4.2 Average Sales by Category</w:t>
      </w:r>
    </w:p>
    <w:p w14:paraId="195640FA" w14:textId="265AA500" w:rsidR="00E0123F" w:rsidRDefault="00827BA6">
      <w:pPr>
        <w:spacing w:after="80"/>
        <w:jc w:val="center"/>
      </w:pPr>
      <w:r>
        <w:rPr>
          <w:noProof/>
        </w:rPr>
        <w:drawing>
          <wp:inline distT="0" distB="0" distL="0" distR="0" wp14:anchorId="5F8B5129" wp14:editId="279EDACA">
            <wp:extent cx="5577840" cy="3443839"/>
            <wp:effectExtent l="0" t="0" r="3810" b="4445"/>
            <wp:docPr id="11533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602" cy="3452336"/>
                    </a:xfrm>
                    <a:prstGeom prst="rect">
                      <a:avLst/>
                    </a:prstGeom>
                    <a:noFill/>
                    <a:ln>
                      <a:noFill/>
                    </a:ln>
                  </pic:spPr>
                </pic:pic>
              </a:graphicData>
            </a:graphic>
          </wp:inline>
        </w:drawing>
      </w:r>
    </w:p>
    <w:p w14:paraId="620A4083" w14:textId="4D994175" w:rsidR="00011D2E" w:rsidRDefault="00011D2E">
      <w:pPr>
        <w:spacing w:after="120"/>
        <w:rPr>
          <w:i/>
          <w:iCs/>
          <w:color w:val="555555"/>
          <w:sz w:val="18"/>
          <w:szCs w:val="18"/>
        </w:rPr>
      </w:pPr>
      <w:r>
        <w:rPr>
          <w:i/>
          <w:iCs/>
          <w:color w:val="555555"/>
          <w:sz w:val="18"/>
          <w:szCs w:val="18"/>
        </w:rPr>
        <w:t xml:space="preserve">                                                  </w:t>
      </w:r>
      <w:r w:rsidRPr="00011D2E">
        <w:rPr>
          <w:i/>
          <w:iCs/>
          <w:color w:val="555555"/>
          <w:sz w:val="18"/>
          <w:szCs w:val="18"/>
        </w:rPr>
        <w:t xml:space="preserve">Figure 2 — Technology leads average sales among all categories. </w:t>
      </w:r>
    </w:p>
    <w:p w14:paraId="17995008" w14:textId="77777777" w:rsidR="00011D2E" w:rsidRDefault="00011D2E" w:rsidP="00A555B7">
      <w:pPr>
        <w:pStyle w:val="Heading2"/>
        <w:spacing w:before="200" w:after="80"/>
        <w:jc w:val="both"/>
        <w:rPr>
          <w:color w:val="auto"/>
          <w:sz w:val="20"/>
          <w:szCs w:val="20"/>
        </w:rPr>
      </w:pPr>
      <w:r w:rsidRPr="00011D2E">
        <w:rPr>
          <w:color w:val="auto"/>
          <w:sz w:val="20"/>
          <w:szCs w:val="20"/>
        </w:rPr>
        <w:t>Story: Technology drives the highest total sales, followed by Furniture and Office Supplies.</w:t>
      </w:r>
    </w:p>
    <w:p w14:paraId="6665A327" w14:textId="77777777" w:rsidR="00011D2E" w:rsidRDefault="00011D2E">
      <w:pPr>
        <w:pStyle w:val="Heading2"/>
        <w:spacing w:before="200" w:after="80"/>
        <w:rPr>
          <w:color w:val="auto"/>
          <w:sz w:val="20"/>
          <w:szCs w:val="20"/>
        </w:rPr>
      </w:pPr>
    </w:p>
    <w:p w14:paraId="061C4F5B" w14:textId="77777777" w:rsidR="00011D2E" w:rsidRDefault="00011D2E">
      <w:pPr>
        <w:spacing w:after="120"/>
      </w:pPr>
    </w:p>
    <w:p w14:paraId="5F0FF9EC" w14:textId="77777777" w:rsidR="00895087" w:rsidRDefault="00895087">
      <w:pPr>
        <w:spacing w:after="120"/>
      </w:pPr>
    </w:p>
    <w:p w14:paraId="5B835A4D" w14:textId="77777777" w:rsidR="00895087" w:rsidRDefault="00895087">
      <w:pPr>
        <w:spacing w:after="120"/>
      </w:pPr>
    </w:p>
    <w:p w14:paraId="0FA06373" w14:textId="77777777" w:rsidR="00895087" w:rsidRDefault="00895087">
      <w:pPr>
        <w:spacing w:after="120"/>
      </w:pPr>
    </w:p>
    <w:p w14:paraId="73B9C329" w14:textId="77777777" w:rsidR="00895087" w:rsidRDefault="00895087">
      <w:pPr>
        <w:spacing w:after="120"/>
      </w:pPr>
    </w:p>
    <w:p w14:paraId="433DCBE7" w14:textId="77777777" w:rsidR="00895087" w:rsidRDefault="00895087">
      <w:pPr>
        <w:spacing w:after="120"/>
      </w:pPr>
    </w:p>
    <w:p w14:paraId="6805102C" w14:textId="77777777" w:rsidR="00895087" w:rsidRDefault="00895087">
      <w:pPr>
        <w:spacing w:after="120"/>
      </w:pPr>
    </w:p>
    <w:p w14:paraId="2D1F6993" w14:textId="77777777" w:rsidR="00895087" w:rsidRDefault="00895087">
      <w:pPr>
        <w:spacing w:after="120"/>
      </w:pPr>
    </w:p>
    <w:p w14:paraId="189B729B" w14:textId="77777777" w:rsidR="00895087" w:rsidRDefault="00895087">
      <w:pPr>
        <w:spacing w:after="120"/>
      </w:pPr>
    </w:p>
    <w:p w14:paraId="6F716DA1" w14:textId="77777777" w:rsidR="00895087" w:rsidRDefault="00895087">
      <w:pPr>
        <w:spacing w:after="120"/>
      </w:pPr>
    </w:p>
    <w:p w14:paraId="089E47A3" w14:textId="77777777" w:rsidR="00895087" w:rsidRDefault="00895087">
      <w:pPr>
        <w:spacing w:after="120"/>
      </w:pPr>
    </w:p>
    <w:p w14:paraId="2CC6D32A" w14:textId="77777777" w:rsidR="00895087" w:rsidRDefault="00895087">
      <w:pPr>
        <w:spacing w:after="120"/>
      </w:pPr>
    </w:p>
    <w:p w14:paraId="232CDD62" w14:textId="77777777" w:rsidR="00895087" w:rsidRDefault="00895087">
      <w:pPr>
        <w:spacing w:after="120"/>
      </w:pPr>
    </w:p>
    <w:p w14:paraId="099BA3DE" w14:textId="77777777" w:rsidR="00895087" w:rsidRDefault="00895087" w:rsidP="00895087">
      <w:pPr>
        <w:pStyle w:val="Heading2"/>
        <w:spacing w:before="200" w:after="80"/>
      </w:pPr>
      <w:r>
        <w:lastRenderedPageBreak/>
        <w:t>4.3 Sales Distribution &amp; Outliers by Category</w:t>
      </w:r>
    </w:p>
    <w:p w14:paraId="564DCFD8" w14:textId="16564185" w:rsidR="002D6C19" w:rsidRDefault="00011D2E">
      <w:pPr>
        <w:spacing w:after="120"/>
      </w:pPr>
      <w:r>
        <w:rPr>
          <w:noProof/>
        </w:rPr>
        <w:drawing>
          <wp:inline distT="0" distB="0" distL="0" distR="0" wp14:anchorId="5A36E5B6" wp14:editId="5AF69ABC">
            <wp:extent cx="4709160" cy="2848814"/>
            <wp:effectExtent l="0" t="0" r="0" b="8890"/>
            <wp:docPr id="199341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1911" cy="2856528"/>
                    </a:xfrm>
                    <a:prstGeom prst="rect">
                      <a:avLst/>
                    </a:prstGeom>
                    <a:noFill/>
                    <a:ln>
                      <a:noFill/>
                    </a:ln>
                  </pic:spPr>
                </pic:pic>
              </a:graphicData>
            </a:graphic>
          </wp:inline>
        </w:drawing>
      </w:r>
    </w:p>
    <w:p w14:paraId="6908B08D" w14:textId="761530BF" w:rsidR="00B9321A" w:rsidRDefault="00B9321A">
      <w:pPr>
        <w:spacing w:after="120"/>
        <w:rPr>
          <w:i/>
          <w:iCs/>
          <w:sz w:val="18"/>
          <w:szCs w:val="18"/>
        </w:rPr>
      </w:pPr>
      <w:r>
        <w:rPr>
          <w:i/>
          <w:iCs/>
          <w:sz w:val="18"/>
          <w:szCs w:val="18"/>
        </w:rPr>
        <w:t xml:space="preserve">                     </w:t>
      </w:r>
      <w:r w:rsidRPr="00B9321A">
        <w:rPr>
          <w:i/>
          <w:iCs/>
          <w:sz w:val="18"/>
          <w:szCs w:val="18"/>
        </w:rPr>
        <w:t>Figure 3 — Boxplot showing the spread and outliers in sales for each product category.</w:t>
      </w:r>
    </w:p>
    <w:p w14:paraId="01C52386" w14:textId="5B1BFEED" w:rsidR="00B9321A" w:rsidRPr="00B9321A" w:rsidRDefault="00B9321A">
      <w:pPr>
        <w:spacing w:after="120"/>
        <w:rPr>
          <w:i/>
          <w:iCs/>
          <w:sz w:val="18"/>
          <w:szCs w:val="18"/>
        </w:rPr>
      </w:pPr>
      <w:r w:rsidRPr="000022A4">
        <w:t>Story: Technology shows the widest spread and the most extreme outliers, with a few orders reaching well above $20,000 — consistent with high-value bulk purchases. Office Supplies and Furniture are far more tightly clustered around lower sales values, meaning their order sizes are more predictable and consistent. This suggests Technology sales are driven by a mix of many small orders and a handful of very large ones, which is worth keeping in mind when forecasting revenue for that category</w:t>
      </w:r>
      <w:r w:rsidRPr="00B9321A">
        <w:rPr>
          <w:sz w:val="22"/>
          <w:szCs w:val="22"/>
        </w:rPr>
        <w:t>.</w:t>
      </w:r>
    </w:p>
    <w:p w14:paraId="0F81A75F" w14:textId="77777777" w:rsidR="00895087" w:rsidRDefault="00895087">
      <w:pPr>
        <w:spacing w:after="120"/>
      </w:pPr>
    </w:p>
    <w:p w14:paraId="75528220" w14:textId="77777777" w:rsidR="00895087" w:rsidRDefault="00895087">
      <w:pPr>
        <w:spacing w:after="120"/>
      </w:pPr>
    </w:p>
    <w:p w14:paraId="038E4C45" w14:textId="32CCE020" w:rsidR="00E0123F" w:rsidRDefault="00A555B7">
      <w:pPr>
        <w:pStyle w:val="Heading2"/>
        <w:spacing w:before="200" w:after="80"/>
      </w:pPr>
      <w:r>
        <w:t>4</w:t>
      </w:r>
      <w:r w:rsidRPr="00A555B7">
        <w:t>.4 Total Profit by Region</w:t>
      </w:r>
      <w:r w:rsidR="00827BA6">
        <w:rPr>
          <w:noProof/>
        </w:rPr>
        <w:drawing>
          <wp:inline distT="0" distB="0" distL="0" distR="0" wp14:anchorId="684AA134" wp14:editId="78DEECFB">
            <wp:extent cx="5943600" cy="2924175"/>
            <wp:effectExtent l="0" t="0" r="0" b="9525"/>
            <wp:docPr id="880979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0510A86B" w14:textId="1BD29E10" w:rsidR="00E0123F" w:rsidRDefault="00E0123F">
      <w:pPr>
        <w:spacing w:after="80"/>
        <w:jc w:val="center"/>
      </w:pPr>
    </w:p>
    <w:p w14:paraId="6B19D0EF" w14:textId="5494E59B" w:rsidR="00E0123F" w:rsidRDefault="00000000">
      <w:pPr>
        <w:spacing w:after="250"/>
        <w:jc w:val="center"/>
        <w:rPr>
          <w:i/>
          <w:iCs/>
          <w:color w:val="555555"/>
          <w:sz w:val="18"/>
          <w:szCs w:val="18"/>
        </w:rPr>
      </w:pPr>
      <w:r>
        <w:rPr>
          <w:i/>
          <w:iCs/>
          <w:color w:val="555555"/>
          <w:sz w:val="18"/>
          <w:szCs w:val="18"/>
        </w:rPr>
        <w:t xml:space="preserve">Figure 4 — </w:t>
      </w:r>
      <w:r w:rsidR="00A555B7" w:rsidRPr="00A555B7">
        <w:rPr>
          <w:i/>
          <w:iCs/>
          <w:color w:val="555555"/>
          <w:sz w:val="18"/>
          <w:szCs w:val="18"/>
        </w:rPr>
        <w:t>Central region generates the highest total profit among all regions.</w:t>
      </w:r>
    </w:p>
    <w:p w14:paraId="167CFA7B" w14:textId="1196589C" w:rsidR="00A555B7" w:rsidRDefault="00A555B7" w:rsidP="00A555B7">
      <w:pPr>
        <w:spacing w:after="250"/>
        <w:jc w:val="both"/>
      </w:pPr>
      <w:r w:rsidRPr="00A555B7">
        <w:lastRenderedPageBreak/>
        <w:t>Story: Profit varies significantly by region</w:t>
      </w:r>
      <w:r>
        <w:t>,</w:t>
      </w:r>
      <w:r w:rsidR="00AF1633">
        <w:t xml:space="preserve"> </w:t>
      </w:r>
      <w:r w:rsidRPr="00A555B7">
        <w:t>Central leads by a wide margin, while regions like Southeast Asia and Canada contribute comparatively little. This could guide where to focus regional strategy or investigate underperformance.</w:t>
      </w:r>
    </w:p>
    <w:p w14:paraId="3C6AAD24" w14:textId="77777777" w:rsidR="000022A4" w:rsidRDefault="000022A4" w:rsidP="00A555B7">
      <w:pPr>
        <w:spacing w:after="250"/>
        <w:jc w:val="both"/>
      </w:pPr>
    </w:p>
    <w:p w14:paraId="0CA1E98A" w14:textId="791AD798" w:rsidR="00E0123F" w:rsidRDefault="00000000">
      <w:pPr>
        <w:pStyle w:val="Heading2"/>
        <w:spacing w:before="200" w:after="80"/>
      </w:pPr>
      <w:r>
        <w:t>4.5 Correlation Heatmap</w:t>
      </w:r>
      <w:r w:rsidR="00827BA6">
        <w:rPr>
          <w:noProof/>
        </w:rPr>
        <w:drawing>
          <wp:inline distT="0" distB="0" distL="0" distR="0" wp14:anchorId="15CDD323" wp14:editId="1429B55E">
            <wp:extent cx="4910667" cy="3862428"/>
            <wp:effectExtent l="0" t="0" r="4445" b="5080"/>
            <wp:docPr id="183637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5796" cy="3866462"/>
                    </a:xfrm>
                    <a:prstGeom prst="rect">
                      <a:avLst/>
                    </a:prstGeom>
                    <a:noFill/>
                    <a:ln>
                      <a:noFill/>
                    </a:ln>
                  </pic:spPr>
                </pic:pic>
              </a:graphicData>
            </a:graphic>
          </wp:inline>
        </w:drawing>
      </w:r>
    </w:p>
    <w:p w14:paraId="1C08B704" w14:textId="64F95E92" w:rsidR="00A555B7" w:rsidRPr="00A555B7" w:rsidRDefault="00A555B7" w:rsidP="00B9321A">
      <w:pPr>
        <w:spacing w:after="80"/>
        <w:jc w:val="center"/>
        <w:rPr>
          <w:i/>
          <w:iCs/>
        </w:rPr>
      </w:pPr>
      <w:r w:rsidRPr="00A555B7">
        <w:rPr>
          <w:i/>
          <w:iCs/>
          <w:sz w:val="18"/>
          <w:szCs w:val="18"/>
        </w:rPr>
        <w:t>Figure</w:t>
      </w:r>
      <w:r w:rsidRPr="00A555B7">
        <w:rPr>
          <w:i/>
          <w:iCs/>
        </w:rPr>
        <w:t xml:space="preserve"> 5 — Discount shows a negative correlation with Profit (r = -0.32).</w:t>
      </w:r>
    </w:p>
    <w:p w14:paraId="03727A07" w14:textId="77777777" w:rsidR="00B9321A" w:rsidRDefault="00B9321A">
      <w:pPr>
        <w:pStyle w:val="Heading2"/>
        <w:spacing w:before="200" w:after="80"/>
        <w:rPr>
          <w:color w:val="auto"/>
          <w:sz w:val="20"/>
          <w:szCs w:val="20"/>
        </w:rPr>
      </w:pPr>
      <w:r w:rsidRPr="00B9321A">
        <w:rPr>
          <w:color w:val="auto"/>
          <w:sz w:val="20"/>
          <w:szCs w:val="20"/>
        </w:rPr>
        <w:t>Story: Sales and Profit are moderately correlated (r = 0.48), as expected. More notably, higher discounts are associated with lower profit (r = -0.32) — suggesting discounting strategy should be reviewed carefully, as it may be eroding margins.</w:t>
      </w:r>
    </w:p>
    <w:p w14:paraId="6086FB9D" w14:textId="77777777" w:rsidR="00AF1633" w:rsidRDefault="00AF1633">
      <w:pPr>
        <w:pStyle w:val="Heading2"/>
        <w:spacing w:before="200" w:after="80"/>
        <w:rPr>
          <w:color w:val="auto"/>
          <w:sz w:val="20"/>
          <w:szCs w:val="20"/>
        </w:rPr>
      </w:pPr>
    </w:p>
    <w:p w14:paraId="14E68AEE" w14:textId="77777777" w:rsidR="00AF1633" w:rsidRDefault="00AF1633">
      <w:pPr>
        <w:pStyle w:val="Heading2"/>
        <w:spacing w:before="200" w:after="80"/>
        <w:rPr>
          <w:color w:val="auto"/>
          <w:sz w:val="20"/>
          <w:szCs w:val="20"/>
        </w:rPr>
      </w:pPr>
    </w:p>
    <w:p w14:paraId="3B04FC6A" w14:textId="77777777" w:rsidR="00AF1633" w:rsidRDefault="00AF1633">
      <w:pPr>
        <w:pStyle w:val="Heading2"/>
        <w:spacing w:before="200" w:after="80"/>
        <w:rPr>
          <w:color w:val="auto"/>
          <w:sz w:val="20"/>
          <w:szCs w:val="20"/>
        </w:rPr>
      </w:pPr>
    </w:p>
    <w:p w14:paraId="3FECE113" w14:textId="77777777" w:rsidR="00AF1633" w:rsidRDefault="00AF1633">
      <w:pPr>
        <w:pStyle w:val="Heading2"/>
        <w:spacing w:before="200" w:after="80"/>
        <w:rPr>
          <w:color w:val="auto"/>
          <w:sz w:val="20"/>
          <w:szCs w:val="20"/>
        </w:rPr>
      </w:pPr>
    </w:p>
    <w:p w14:paraId="3759D293" w14:textId="77777777" w:rsidR="00AF1633" w:rsidRDefault="00AF1633">
      <w:pPr>
        <w:pStyle w:val="Heading2"/>
        <w:spacing w:before="200" w:after="80"/>
        <w:rPr>
          <w:color w:val="auto"/>
          <w:sz w:val="20"/>
          <w:szCs w:val="20"/>
        </w:rPr>
      </w:pPr>
    </w:p>
    <w:p w14:paraId="1647CBC0" w14:textId="77777777" w:rsidR="00AF1633" w:rsidRDefault="00AF1633">
      <w:pPr>
        <w:pStyle w:val="Heading2"/>
        <w:spacing w:before="200" w:after="80"/>
        <w:rPr>
          <w:color w:val="auto"/>
          <w:sz w:val="20"/>
          <w:szCs w:val="20"/>
        </w:rPr>
      </w:pPr>
    </w:p>
    <w:p w14:paraId="199869DC" w14:textId="77777777" w:rsidR="00AF1633" w:rsidRDefault="00AF1633">
      <w:pPr>
        <w:pStyle w:val="Heading2"/>
        <w:spacing w:before="200" w:after="80"/>
        <w:rPr>
          <w:color w:val="auto"/>
          <w:sz w:val="20"/>
          <w:szCs w:val="20"/>
        </w:rPr>
      </w:pPr>
    </w:p>
    <w:p w14:paraId="39781161" w14:textId="77777777" w:rsidR="00AF1633" w:rsidRDefault="00AF1633">
      <w:pPr>
        <w:pStyle w:val="Heading2"/>
        <w:spacing w:before="200" w:after="80"/>
        <w:rPr>
          <w:color w:val="auto"/>
          <w:sz w:val="20"/>
          <w:szCs w:val="20"/>
        </w:rPr>
      </w:pPr>
    </w:p>
    <w:p w14:paraId="0B1376A2" w14:textId="77777777" w:rsidR="00AF1633" w:rsidRDefault="00AF1633">
      <w:pPr>
        <w:pStyle w:val="Heading2"/>
        <w:spacing w:before="200" w:after="80"/>
        <w:rPr>
          <w:color w:val="auto"/>
          <w:sz w:val="20"/>
          <w:szCs w:val="20"/>
        </w:rPr>
      </w:pPr>
    </w:p>
    <w:p w14:paraId="79E81E4F" w14:textId="40EF7BDB" w:rsidR="00B9321A" w:rsidRDefault="00000000">
      <w:pPr>
        <w:pStyle w:val="Heading2"/>
        <w:spacing w:before="200" w:after="80"/>
        <w:rPr>
          <w:noProof/>
        </w:rPr>
      </w:pPr>
      <w:r>
        <w:lastRenderedPageBreak/>
        <w:t>4.6 Unit Price vs. Units Sold</w:t>
      </w:r>
    </w:p>
    <w:p w14:paraId="4F3F7FFF" w14:textId="02F28699" w:rsidR="00AF1633" w:rsidRDefault="00AF1633">
      <w:pPr>
        <w:pStyle w:val="Heading2"/>
        <w:spacing w:before="200" w:after="80"/>
      </w:pPr>
      <w:r>
        <w:rPr>
          <w:noProof/>
        </w:rPr>
        <w:drawing>
          <wp:inline distT="0" distB="0" distL="0" distR="0" wp14:anchorId="3AD6794A" wp14:editId="21F4D381">
            <wp:extent cx="5943600" cy="3530600"/>
            <wp:effectExtent l="0" t="0" r="0" b="0"/>
            <wp:docPr id="690385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0600"/>
                    </a:xfrm>
                    <a:prstGeom prst="rect">
                      <a:avLst/>
                    </a:prstGeom>
                    <a:noFill/>
                    <a:ln>
                      <a:noFill/>
                    </a:ln>
                  </pic:spPr>
                </pic:pic>
              </a:graphicData>
            </a:graphic>
          </wp:inline>
        </w:drawing>
      </w:r>
    </w:p>
    <w:p w14:paraId="573AC09A" w14:textId="1C7A78AB" w:rsidR="00E0123F" w:rsidRDefault="00E0123F">
      <w:pPr>
        <w:spacing w:after="80"/>
        <w:jc w:val="center"/>
      </w:pPr>
    </w:p>
    <w:p w14:paraId="03FBA6BF" w14:textId="77777777" w:rsidR="00E0123F" w:rsidRDefault="00000000">
      <w:pPr>
        <w:spacing w:after="250"/>
        <w:jc w:val="center"/>
      </w:pPr>
      <w:r>
        <w:rPr>
          <w:i/>
          <w:iCs/>
          <w:color w:val="555555"/>
          <w:sz w:val="18"/>
          <w:szCs w:val="18"/>
        </w:rPr>
        <w:t>Figure 6 — Scatter plot of price against quantity sold, colored by category.</w:t>
      </w:r>
    </w:p>
    <w:p w14:paraId="21A6C7CB" w14:textId="01EE6C1C" w:rsidR="000022A4" w:rsidRDefault="00000000">
      <w:pPr>
        <w:spacing w:after="120"/>
      </w:pPr>
      <w:r>
        <w:t>Story: There's no strong price-sensitivity pattern visible — customers buy similar quantities across a wide price range within each category, suggesting demand isn't highly elastic at these price points.</w:t>
      </w:r>
    </w:p>
    <w:p w14:paraId="09172DA7" w14:textId="77777777" w:rsidR="002D3F9C" w:rsidRDefault="002D3F9C">
      <w:pPr>
        <w:pStyle w:val="Heading1"/>
        <w:spacing w:before="300" w:after="150"/>
      </w:pPr>
    </w:p>
    <w:p w14:paraId="5DD982F7" w14:textId="357FF643" w:rsidR="00E0123F" w:rsidRDefault="00000000">
      <w:pPr>
        <w:pStyle w:val="Heading1"/>
        <w:spacing w:before="300" w:after="150"/>
      </w:pPr>
      <w:r>
        <w:t>5. Design Choices</w:t>
      </w:r>
    </w:p>
    <w:p w14:paraId="7C823576" w14:textId="77777777" w:rsidR="00E0123F" w:rsidRDefault="00000000">
      <w:pPr>
        <w:pStyle w:val="ListParagraph"/>
        <w:numPr>
          <w:ilvl w:val="0"/>
          <w:numId w:val="2"/>
        </w:numPr>
        <w:spacing w:after="60"/>
      </w:pPr>
      <w:r>
        <w:t>Consistent color palette (blues) used across charts for a cohesive, professional look.</w:t>
      </w:r>
    </w:p>
    <w:p w14:paraId="2A49FA1D" w14:textId="081B9B98" w:rsidR="00E0123F" w:rsidRDefault="00000000">
      <w:pPr>
        <w:pStyle w:val="ListParagraph"/>
        <w:numPr>
          <w:ilvl w:val="0"/>
          <w:numId w:val="2"/>
        </w:numPr>
        <w:spacing w:after="60"/>
      </w:pPr>
      <w:r>
        <w:t xml:space="preserve">Chart type matched to the question: line for trend over time, bar for category comparison, boxplot for distribution/outliers, </w:t>
      </w:r>
      <w:r w:rsidR="000022A4" w:rsidRPr="000022A4">
        <w:t>grouped bar chart for regional comparison</w:t>
      </w:r>
      <w:r>
        <w:t>, heatmap for relationships, scatter for two-variable patterns.</w:t>
      </w:r>
    </w:p>
    <w:p w14:paraId="730CE2F4" w14:textId="77777777" w:rsidR="00E0123F" w:rsidRDefault="00000000">
      <w:pPr>
        <w:pStyle w:val="ListParagraph"/>
        <w:numPr>
          <w:ilvl w:val="0"/>
          <w:numId w:val="2"/>
        </w:numPr>
        <w:spacing w:after="60"/>
      </w:pPr>
      <w:r>
        <w:t>Titles and axis labels written in plain language, not just column names, so the charts are readable without extra context.</w:t>
      </w:r>
    </w:p>
    <w:p w14:paraId="506BA23A" w14:textId="77777777" w:rsidR="00E0123F" w:rsidRDefault="00000000">
      <w:pPr>
        <w:pStyle w:val="ListParagraph"/>
        <w:numPr>
          <w:ilvl w:val="0"/>
          <w:numId w:val="2"/>
        </w:numPr>
        <w:spacing w:after="60"/>
      </w:pPr>
      <w:r>
        <w:t>Legends placed outside the plot area (scatter chart) to avoid obscuring data points.</w:t>
      </w:r>
    </w:p>
    <w:p w14:paraId="4C3B6103" w14:textId="593F13D1" w:rsidR="00E0123F" w:rsidRDefault="00000000">
      <w:pPr>
        <w:pStyle w:val="Heading1"/>
        <w:spacing w:before="300" w:after="150"/>
      </w:pPr>
      <w:r>
        <w:t>6. Key Learnings</w:t>
      </w:r>
    </w:p>
    <w:p w14:paraId="1D05970B" w14:textId="77777777" w:rsidR="00E0123F" w:rsidRDefault="00000000">
      <w:pPr>
        <w:pStyle w:val="ListParagraph"/>
        <w:numPr>
          <w:ilvl w:val="0"/>
          <w:numId w:val="2"/>
        </w:numPr>
        <w:spacing w:after="60"/>
      </w:pPr>
      <w:r>
        <w:t>Practiced choosing the right chart type for the question being asked, rather than defaulting to bar charts.</w:t>
      </w:r>
    </w:p>
    <w:p w14:paraId="7A804A7F" w14:textId="77777777" w:rsidR="00E0123F" w:rsidRDefault="00000000">
      <w:pPr>
        <w:pStyle w:val="ListParagraph"/>
        <w:numPr>
          <w:ilvl w:val="0"/>
          <w:numId w:val="2"/>
        </w:numPr>
        <w:spacing w:after="60"/>
      </w:pPr>
      <w:r>
        <w:t xml:space="preserve">Learned to pair every chart with a </w:t>
      </w:r>
      <w:proofErr w:type="gramStart"/>
      <w:r>
        <w:t>short written</w:t>
      </w:r>
      <w:proofErr w:type="gramEnd"/>
      <w:r>
        <w:t xml:space="preserve"> insight — a chart alone doesn't tell the story, the caption does.</w:t>
      </w:r>
    </w:p>
    <w:p w14:paraId="26B6F19C" w14:textId="77777777" w:rsidR="00E0123F" w:rsidRDefault="00000000">
      <w:pPr>
        <w:pStyle w:val="ListParagraph"/>
        <w:numPr>
          <w:ilvl w:val="0"/>
          <w:numId w:val="2"/>
        </w:numPr>
        <w:spacing w:after="60"/>
      </w:pPr>
      <w:r>
        <w:t>Used Seaborn's statistical plot types (boxplot, heatmap) to communicate distribution and correlation more effectively than raw tables.</w:t>
      </w:r>
    </w:p>
    <w:p w14:paraId="535FB0BB" w14:textId="77777777" w:rsidR="00E0123F" w:rsidRDefault="00000000">
      <w:pPr>
        <w:pStyle w:val="ListParagraph"/>
        <w:numPr>
          <w:ilvl w:val="0"/>
          <w:numId w:val="2"/>
        </w:numPr>
        <w:spacing w:after="60"/>
      </w:pPr>
      <w:r>
        <w:t>Built a small reusable visualization script that can be pointed at any similarly-structured sales dataset.</w:t>
      </w:r>
    </w:p>
    <w:p w14:paraId="190BE594" w14:textId="77777777" w:rsidR="00E0123F" w:rsidRDefault="00000000">
      <w:pPr>
        <w:pStyle w:val="Heading1"/>
        <w:spacing w:before="300" w:after="150"/>
      </w:pPr>
      <w:r>
        <w:lastRenderedPageBreak/>
        <w:t>7. Conclusion</w:t>
      </w:r>
    </w:p>
    <w:p w14:paraId="78732AF7" w14:textId="77777777" w:rsidR="00E0123F" w:rsidRDefault="00000000">
      <w:pPr>
        <w:spacing w:after="120"/>
      </w:pPr>
      <w:r>
        <w:t>This task turned the raw findings from Task 2 into six clear, decision-ready visuals covering trend, comparison, distribution, share, correlation, and relationship analysis. Together they form a compact visualization portfolio piece that communicates the same insights faster and more persuasively than the underlying tables alone.</w:t>
      </w:r>
    </w:p>
    <w:sectPr w:rsidR="00E012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84028"/>
    <w:multiLevelType w:val="hybridMultilevel"/>
    <w:tmpl w:val="EDA80CFE"/>
    <w:lvl w:ilvl="0" w:tplc="EB6A02D6">
      <w:start w:val="1"/>
      <w:numFmt w:val="bullet"/>
      <w:lvlText w:val="•"/>
      <w:lvlJc w:val="left"/>
      <w:pPr>
        <w:ind w:left="420" w:hanging="260"/>
      </w:pPr>
    </w:lvl>
    <w:lvl w:ilvl="1" w:tplc="46F0BF6A">
      <w:numFmt w:val="decimal"/>
      <w:lvlText w:val=""/>
      <w:lvlJc w:val="left"/>
    </w:lvl>
    <w:lvl w:ilvl="2" w:tplc="F62A2DE0">
      <w:numFmt w:val="decimal"/>
      <w:lvlText w:val=""/>
      <w:lvlJc w:val="left"/>
    </w:lvl>
    <w:lvl w:ilvl="3" w:tplc="57C455FC">
      <w:numFmt w:val="decimal"/>
      <w:lvlText w:val=""/>
      <w:lvlJc w:val="left"/>
    </w:lvl>
    <w:lvl w:ilvl="4" w:tplc="F90CF08E">
      <w:numFmt w:val="decimal"/>
      <w:lvlText w:val=""/>
      <w:lvlJc w:val="left"/>
    </w:lvl>
    <w:lvl w:ilvl="5" w:tplc="10BAFF2C">
      <w:numFmt w:val="decimal"/>
      <w:lvlText w:val=""/>
      <w:lvlJc w:val="left"/>
    </w:lvl>
    <w:lvl w:ilvl="6" w:tplc="EB9445F0">
      <w:numFmt w:val="decimal"/>
      <w:lvlText w:val=""/>
      <w:lvlJc w:val="left"/>
    </w:lvl>
    <w:lvl w:ilvl="7" w:tplc="840C44BE">
      <w:numFmt w:val="decimal"/>
      <w:lvlText w:val=""/>
      <w:lvlJc w:val="left"/>
    </w:lvl>
    <w:lvl w:ilvl="8" w:tplc="AB349E0E">
      <w:numFmt w:val="decimal"/>
      <w:lvlText w:val=""/>
      <w:lvlJc w:val="left"/>
    </w:lvl>
  </w:abstractNum>
  <w:abstractNum w:abstractNumId="1" w15:restartNumberingAfterBreak="0">
    <w:nsid w:val="77FF497B"/>
    <w:multiLevelType w:val="hybridMultilevel"/>
    <w:tmpl w:val="A216D678"/>
    <w:lvl w:ilvl="0" w:tplc="481E3D84">
      <w:start w:val="1"/>
      <w:numFmt w:val="bullet"/>
      <w:lvlText w:val="●"/>
      <w:lvlJc w:val="left"/>
      <w:pPr>
        <w:ind w:left="720" w:hanging="360"/>
      </w:pPr>
    </w:lvl>
    <w:lvl w:ilvl="1" w:tplc="43FA1856">
      <w:start w:val="1"/>
      <w:numFmt w:val="bullet"/>
      <w:lvlText w:val="○"/>
      <w:lvlJc w:val="left"/>
      <w:pPr>
        <w:ind w:left="1440" w:hanging="360"/>
      </w:pPr>
    </w:lvl>
    <w:lvl w:ilvl="2" w:tplc="EF8EE302">
      <w:start w:val="1"/>
      <w:numFmt w:val="bullet"/>
      <w:lvlText w:val="■"/>
      <w:lvlJc w:val="left"/>
      <w:pPr>
        <w:ind w:left="2160" w:hanging="360"/>
      </w:pPr>
    </w:lvl>
    <w:lvl w:ilvl="3" w:tplc="6E9E0532">
      <w:start w:val="1"/>
      <w:numFmt w:val="bullet"/>
      <w:lvlText w:val="●"/>
      <w:lvlJc w:val="left"/>
      <w:pPr>
        <w:ind w:left="2880" w:hanging="360"/>
      </w:pPr>
    </w:lvl>
    <w:lvl w:ilvl="4" w:tplc="D026D2EC">
      <w:start w:val="1"/>
      <w:numFmt w:val="bullet"/>
      <w:lvlText w:val="○"/>
      <w:lvlJc w:val="left"/>
      <w:pPr>
        <w:ind w:left="3600" w:hanging="360"/>
      </w:pPr>
    </w:lvl>
    <w:lvl w:ilvl="5" w:tplc="3FAAEB94">
      <w:start w:val="1"/>
      <w:numFmt w:val="bullet"/>
      <w:lvlText w:val="■"/>
      <w:lvlJc w:val="left"/>
      <w:pPr>
        <w:ind w:left="4320" w:hanging="360"/>
      </w:pPr>
    </w:lvl>
    <w:lvl w:ilvl="6" w:tplc="32626248">
      <w:start w:val="1"/>
      <w:numFmt w:val="bullet"/>
      <w:lvlText w:val="●"/>
      <w:lvlJc w:val="left"/>
      <w:pPr>
        <w:ind w:left="5040" w:hanging="360"/>
      </w:pPr>
    </w:lvl>
    <w:lvl w:ilvl="7" w:tplc="B8D09244">
      <w:start w:val="1"/>
      <w:numFmt w:val="bullet"/>
      <w:lvlText w:val="●"/>
      <w:lvlJc w:val="left"/>
      <w:pPr>
        <w:ind w:left="5760" w:hanging="360"/>
      </w:pPr>
    </w:lvl>
    <w:lvl w:ilvl="8" w:tplc="B414FFE6">
      <w:start w:val="1"/>
      <w:numFmt w:val="bullet"/>
      <w:lvlText w:val="●"/>
      <w:lvlJc w:val="left"/>
      <w:pPr>
        <w:ind w:left="6480" w:hanging="360"/>
      </w:pPr>
    </w:lvl>
  </w:abstractNum>
  <w:num w:numId="1" w16cid:durableId="1359038158">
    <w:abstractNumId w:val="1"/>
    <w:lvlOverride w:ilvl="0">
      <w:startOverride w:val="1"/>
    </w:lvlOverride>
  </w:num>
  <w:num w:numId="2" w16cid:durableId="977491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23F"/>
    <w:rsid w:val="000022A4"/>
    <w:rsid w:val="00011D2E"/>
    <w:rsid w:val="000D1FF5"/>
    <w:rsid w:val="002D3F9C"/>
    <w:rsid w:val="002D6C19"/>
    <w:rsid w:val="00411B58"/>
    <w:rsid w:val="00827BA6"/>
    <w:rsid w:val="00895087"/>
    <w:rsid w:val="00A555B7"/>
    <w:rsid w:val="00AF1633"/>
    <w:rsid w:val="00B9321A"/>
    <w:rsid w:val="00E01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249E"/>
  <w15:docId w15:val="{492A48A7-6A9D-4393-809B-330D64842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Priyal Rasal</cp:lastModifiedBy>
  <cp:revision>10</cp:revision>
  <dcterms:created xsi:type="dcterms:W3CDTF">2026-09-01T18:31:00Z</dcterms:created>
  <dcterms:modified xsi:type="dcterms:W3CDTF">2026-09-19T07:12:00Z</dcterms:modified>
</cp:coreProperties>
</file>