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5E70" w14:textId="77777777" w:rsidR="002A295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Priyam Shah</w:t>
      </w:r>
    </w:p>
    <w:p w14:paraId="20FCC130" w14:textId="77777777" w:rsidR="002A2953" w:rsidRDefault="00000000">
      <w:pPr>
        <w:spacing w:after="14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>(908) 239-3735   |   priyamkshah@gmail.com   |   South River, NJ</w:t>
      </w:r>
    </w:p>
    <w:p w14:paraId="1B8C0164" w14:textId="77777777" w:rsidR="002A2953" w:rsidRDefault="002A2953">
      <w:pPr>
        <w:pBdr>
          <w:bottom w:val="single" w:sz="12" w:space="1" w:color="1F3864"/>
        </w:pBdr>
        <w:spacing w:before="55"/>
      </w:pPr>
    </w:p>
    <w:p w14:paraId="53FCB859" w14:textId="77777777" w:rsidR="007B4BEE" w:rsidRDefault="00000000" w:rsidP="007B4BEE">
      <w:pPr>
        <w:pBdr>
          <w:bottom w:val="single" w:sz="8" w:space="2" w:color="1F3864"/>
        </w:pBdr>
        <w:spacing w:before="15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14:paraId="520E6BA2" w14:textId="77777777" w:rsidR="007B4BEE" w:rsidRDefault="007B4BEE" w:rsidP="007B4BEE">
      <w:pPr>
        <w:pBdr>
          <w:bottom w:val="single" w:sz="8" w:space="2" w:color="1F3864"/>
        </w:pBdr>
        <w:spacing w:before="150" w:after="60"/>
        <w:rPr>
          <w:rFonts w:ascii="Calibri" w:eastAsia="Calibri" w:hAnsi="Calibri" w:cs="Calibri"/>
          <w:color w:val="000000"/>
          <w:sz w:val="19"/>
          <w:szCs w:val="19"/>
        </w:rPr>
      </w:pPr>
      <w:r w:rsidRPr="007B4BEE">
        <w:rPr>
          <w:rFonts w:ascii="Calibri" w:eastAsia="Calibri" w:hAnsi="Calibri" w:cs="Calibri"/>
          <w:color w:val="000000"/>
          <w:sz w:val="19"/>
          <w:szCs w:val="19"/>
        </w:rPr>
        <w:t>Financial crime investigator with 8 years of experience across JPMorgan Chase and Citi specializing in fraud, scams, market manipulation, brokerage AML, and high-risk enforcement investigations. Filed 500+ SARs across retail banking, commercial banking, subpoena escalation, and brokerage AML investigations involving deception, victim exploitation, and financial crime. Experienced in identifying abuse patterns, evaluating high-risk behavior, and supporting enforcement decisions across complex investigations. Seeking to transition from executing enforcement decisions to owning the policy that prevents harm before it reaches victims.</w:t>
      </w:r>
    </w:p>
    <w:p w14:paraId="362FE3C1" w14:textId="0707D1F6" w:rsidR="002A2953" w:rsidRPr="007B4BEE" w:rsidRDefault="00000000" w:rsidP="007B4BEE">
      <w:pPr>
        <w:pBdr>
          <w:bottom w:val="single" w:sz="8" w:space="2" w:color="1F3864"/>
        </w:pBdr>
        <w:spacing w:before="150" w:after="6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66412127" w14:textId="77777777" w:rsidR="002A2953" w:rsidRDefault="00000000">
      <w:pPr>
        <w:tabs>
          <w:tab w:val="right" w:pos="10080"/>
        </w:tabs>
        <w:spacing w:before="1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Citi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Jersey City, New Jersey</w:t>
      </w:r>
    </w:p>
    <w:p w14:paraId="6BA1BE4A" w14:textId="77777777" w:rsidR="002A295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19"/>
          <w:szCs w:val="19"/>
        </w:rPr>
        <w:t>Officer, CRIU Intermediate Associate</w:t>
      </w:r>
      <w:r>
        <w:rPr>
          <w:rFonts w:ascii="Calibri" w:eastAsia="Calibri" w:hAnsi="Calibri" w:cs="Calibri"/>
          <w:color w:val="595959"/>
          <w:sz w:val="18"/>
          <w:szCs w:val="18"/>
        </w:rPr>
        <w:tab/>
        <w:t>April 2025 – Present</w:t>
      </w:r>
    </w:p>
    <w:p w14:paraId="3264CA41" w14:textId="244C60F9" w:rsidR="007B4BEE" w:rsidRDefault="00000000" w:rsidP="007B4BEE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Deployed cross-functionally across Citi’s Brokerage AML division —</w:t>
      </w:r>
      <w:r w:rsidR="001E3899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/>
          <w:sz w:val="19"/>
          <w:szCs w:val="19"/>
        </w:rPr>
        <w:t>covering Markets AML (Prime Brokerage, FX, Repo, Margin) and the Custody team to investigate suspicious activity across institutional accounts</w:t>
      </w:r>
      <w:r w:rsidR="007B4BEE">
        <w:rPr>
          <w:rFonts w:ascii="Calibri" w:eastAsia="Calibri" w:hAnsi="Calibri" w:cs="Calibri"/>
          <w:color w:val="000000"/>
          <w:sz w:val="19"/>
          <w:szCs w:val="19"/>
        </w:rPr>
        <w:t xml:space="preserve">, </w:t>
      </w:r>
      <w:r>
        <w:rPr>
          <w:rFonts w:ascii="Calibri" w:eastAsia="Calibri" w:hAnsi="Calibri" w:cs="Calibri"/>
          <w:color w:val="000000"/>
          <w:sz w:val="19"/>
          <w:szCs w:val="19"/>
        </w:rPr>
        <w:t>complex financial products</w:t>
      </w:r>
      <w:r w:rsidR="007B4BEE">
        <w:rPr>
          <w:rFonts w:ascii="Calibri" w:eastAsia="Calibri" w:hAnsi="Calibri" w:cs="Calibri"/>
          <w:color w:val="000000"/>
          <w:sz w:val="19"/>
          <w:szCs w:val="19"/>
        </w:rPr>
        <w:t xml:space="preserve">, and </w:t>
      </w:r>
      <w:r w:rsidR="007B4BEE">
        <w:t>high-risk transaction patterns</w:t>
      </w:r>
    </w:p>
    <w:p w14:paraId="3295D124" w14:textId="21310295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Partnered with Citi’s AI team to deploy an investigation tool where analysts upload case files and the AI summarizes content, flags suspicious activity, and generates draft SAR narratives — streamlining the end-to-end investigation process</w:t>
      </w:r>
    </w:p>
    <w:p w14:paraId="38852001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Flagged escalation procedure gaps and recommended policy improvements; trained 5 analysts on AML identification standards, policy application, and SAR quality benchmarks.</w:t>
      </w:r>
    </w:p>
    <w:p w14:paraId="66299C9B" w14:textId="38296FF9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Partner with KYC, QA,</w:t>
      </w:r>
      <w:r w:rsidR="001E3899">
        <w:rPr>
          <w:rFonts w:ascii="Calibri" w:eastAsia="Calibri" w:hAnsi="Calibri" w:cs="Calibri"/>
          <w:color w:val="000000"/>
          <w:sz w:val="19"/>
          <w:szCs w:val="19"/>
        </w:rPr>
        <w:t xml:space="preserve"> and Compliance </w:t>
      </w:r>
      <w:r>
        <w:rPr>
          <w:rFonts w:ascii="Calibri" w:eastAsia="Calibri" w:hAnsi="Calibri" w:cs="Calibri"/>
          <w:color w:val="000000"/>
          <w:sz w:val="19"/>
          <w:szCs w:val="19"/>
        </w:rPr>
        <w:t>to ensure enforcement decisions are consistent, risk-based, and aligned with FinCEN standards — translating investigative findings into actionable recommendations across teams.</w:t>
      </w:r>
    </w:p>
    <w:p w14:paraId="6569C2C5" w14:textId="77777777" w:rsidR="002A2953" w:rsidRDefault="00000000">
      <w:pPr>
        <w:tabs>
          <w:tab w:val="right" w:pos="10080"/>
        </w:tabs>
        <w:spacing w:before="1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JPMorgan Chase &amp; Co.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Jersey City, New Jersey</w:t>
      </w:r>
    </w:p>
    <w:p w14:paraId="2561DEF4" w14:textId="77777777" w:rsidR="002A295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19"/>
          <w:szCs w:val="19"/>
        </w:rPr>
        <w:t>GFCC / Detect Officer — Subpoena Escalation Team</w:t>
      </w:r>
      <w:r>
        <w:rPr>
          <w:rFonts w:ascii="Calibri" w:eastAsia="Calibri" w:hAnsi="Calibri" w:cs="Calibri"/>
          <w:color w:val="595959"/>
          <w:sz w:val="18"/>
          <w:szCs w:val="18"/>
        </w:rPr>
        <w:tab/>
        <w:t>July 2022 – April 2025</w:t>
      </w:r>
    </w:p>
    <w:p w14:paraId="36B2F2E2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Processed 110+ subpoenas weekly from the FBI, DOJ, IRS, and state and local law enforcement — spanning AML, fraud, scams, and healthcare fraud; contacted agency points of contact, investigated underlying account activity, and filed SARs where warranted.</w:t>
      </w:r>
    </w:p>
    <w:p w14:paraId="0A1CA371" w14:textId="439EF6B8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Investigated pig butchering, romance scams, BEC, identity fraud, trade-based money laundering, and </w:t>
      </w:r>
      <w:r w:rsidR="007B4BEE">
        <w:rPr>
          <w:rFonts w:ascii="Calibri" w:eastAsia="Calibri" w:hAnsi="Calibri" w:cs="Calibri"/>
          <w:color w:val="000000"/>
          <w:sz w:val="19"/>
          <w:szCs w:val="19"/>
        </w:rPr>
        <w:t xml:space="preserve">financial crimes </w:t>
      </w:r>
      <w:r>
        <w:rPr>
          <w:rFonts w:ascii="Calibri" w:eastAsia="Calibri" w:hAnsi="Calibri" w:cs="Calibri"/>
          <w:color w:val="000000"/>
          <w:sz w:val="19"/>
          <w:szCs w:val="19"/>
        </w:rPr>
        <w:t>across AML, FCOI, and GS units.</w:t>
      </w:r>
    </w:p>
    <w:p w14:paraId="07B6E9A4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Ranked top 3 firmwide maintaining a 97% quality rate and exceeding throughput benchmarks by 15%; redesigned enforcement workflows with tech and risk teams, increasing case throughput by 20%.</w:t>
      </w:r>
    </w:p>
    <w:p w14:paraId="0F2DE5EA" w14:textId="77777777" w:rsidR="002A2953" w:rsidRDefault="00000000">
      <w:pPr>
        <w:tabs>
          <w:tab w:val="right" w:pos="10080"/>
        </w:tabs>
        <w:spacing w:before="1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JPMorgan Chase &amp; Co.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Newark, Delaware</w:t>
      </w:r>
    </w:p>
    <w:p w14:paraId="6ED9F15C" w14:textId="77777777" w:rsidR="002A295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19"/>
          <w:szCs w:val="19"/>
        </w:rPr>
        <w:t>Anti-Money Laundering Associate / Analyst</w:t>
      </w:r>
      <w:r>
        <w:rPr>
          <w:rFonts w:ascii="Calibri" w:eastAsia="Calibri" w:hAnsi="Calibri" w:cs="Calibri"/>
          <w:color w:val="595959"/>
          <w:sz w:val="18"/>
          <w:szCs w:val="18"/>
        </w:rPr>
        <w:tab/>
        <w:t>November 2017 – July 2022</w:t>
      </w:r>
    </w:p>
    <w:p w14:paraId="3A0D4ED5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Promoted to Associate within one year; received Blue Ribbon Award in 2021 and 2022; investigated structuring, smurfing, account takeover, vulnerable adult exploitation, and cross-border wire fraud across consumer accounts and branch referrals.</w:t>
      </w:r>
    </w:p>
    <w:p w14:paraId="2B961753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Conducted AML investigations across cash transactions, KYC, wire transfers, and branch referrals — recommending 25+ account terminations annually and producing enforcement documentation aligned with FinCEN standards.</w:t>
      </w:r>
    </w:p>
    <w:p w14:paraId="38098BBE" w14:textId="77777777" w:rsidR="002A2953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000000"/>
          <w:sz w:val="19"/>
          <w:szCs w:val="19"/>
        </w:rPr>
        <w:t>Reviewed and approved SAR filings; identified high-risk patterns and recommended enhanced due diligence for suspicious entities.</w:t>
      </w:r>
    </w:p>
    <w:p w14:paraId="6142C187" w14:textId="77777777" w:rsidR="002A2953" w:rsidRDefault="00000000">
      <w:pPr>
        <w:pBdr>
          <w:bottom w:val="single" w:sz="8" w:space="2" w:color="1F3864"/>
        </w:pBdr>
        <w:spacing w:before="15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9073926" w14:textId="77777777" w:rsidR="002A2953" w:rsidRDefault="00000000">
      <w:pPr>
        <w:tabs>
          <w:tab w:val="right" w:pos="10080"/>
        </w:tabs>
        <w:spacing w:before="1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Rutgers University</w:t>
      </w:r>
      <w:r>
        <w:rPr>
          <w:rFonts w:ascii="Calibri" w:eastAsia="Calibri" w:hAnsi="Calibri" w:cs="Calibri"/>
          <w:color w:val="595959"/>
          <w:sz w:val="19"/>
          <w:szCs w:val="19"/>
        </w:rPr>
        <w:tab/>
        <w:t>Newark, New Jersey</w:t>
      </w:r>
    </w:p>
    <w:p w14:paraId="0528503C" w14:textId="77777777" w:rsidR="002A2953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19"/>
          <w:szCs w:val="19"/>
        </w:rPr>
        <w:t>Bachelor of Science in Economics — Minor in Psychology</w:t>
      </w:r>
      <w:r>
        <w:rPr>
          <w:rFonts w:ascii="Calibri" w:eastAsia="Calibri" w:hAnsi="Calibri" w:cs="Calibri"/>
          <w:color w:val="595959"/>
          <w:sz w:val="18"/>
          <w:szCs w:val="18"/>
        </w:rPr>
        <w:tab/>
        <w:t>December 2017</w:t>
      </w:r>
    </w:p>
    <w:p w14:paraId="769AB0B6" w14:textId="77777777" w:rsidR="002A2953" w:rsidRDefault="00000000">
      <w:pPr>
        <w:pBdr>
          <w:bottom w:val="single" w:sz="8" w:space="2" w:color="1F3864"/>
        </w:pBdr>
        <w:spacing w:before="15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 &amp; SKILLS</w:t>
      </w:r>
    </w:p>
    <w:p w14:paraId="277A28AF" w14:textId="77777777" w:rsidR="002A2953" w:rsidRDefault="00000000">
      <w:pPr>
        <w:spacing w:before="44" w:after="6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Certifications:</w:t>
      </w:r>
    </w:p>
    <w:p w14:paraId="14779113" w14:textId="77777777" w:rsidR="002A2953" w:rsidRDefault="00000000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000000"/>
          <w:sz w:val="19"/>
          <w:szCs w:val="19"/>
        </w:rPr>
        <w:t>Certified Anti-Money Laundering Specialist (CAMS)  |  ACAMS  |  January 2025</w:t>
      </w:r>
    </w:p>
    <w:p w14:paraId="4A055507" w14:textId="77777777" w:rsidR="002A2953" w:rsidRDefault="00000000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000000"/>
          <w:sz w:val="19"/>
          <w:szCs w:val="19"/>
        </w:rPr>
        <w:t>TRM Crypto Compliance Specialist (TRM-CCS)  |  TRM Labs  |  April 2026</w:t>
      </w:r>
    </w:p>
    <w:p w14:paraId="499BC030" w14:textId="77777777" w:rsidR="002A2953" w:rsidRDefault="00000000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000000"/>
          <w:sz w:val="19"/>
          <w:szCs w:val="19"/>
        </w:rPr>
        <w:t>Series 7 / SIE  |  Currently Pursuing</w:t>
      </w:r>
    </w:p>
    <w:p w14:paraId="7728D8B0" w14:textId="77777777" w:rsidR="002A2953" w:rsidRDefault="00000000">
      <w:pPr>
        <w:spacing w:before="26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lastRenderedPageBreak/>
        <w:t xml:space="preserve">Skills:  </w:t>
      </w:r>
      <w:r>
        <w:rPr>
          <w:rFonts w:ascii="Calibri" w:eastAsia="Calibri" w:hAnsi="Calibri" w:cs="Calibri"/>
          <w:color w:val="000000"/>
          <w:sz w:val="19"/>
          <w:szCs w:val="19"/>
        </w:rPr>
        <w:t>Fraud &amp; Scams Investigation  ·  SAR Reporting &amp; Enforcement  ·  Financial Crime Analysis  ·  KYC/AML  ·  AI Enforcement Workflow Design  ·  Blockchain &amp; Crypto Compliance  ·  Market Manipulation Detection  ·  Transaction Monitoring  ·  Market Manipulation Detection  ·  Law Enforcement Liaison  ·  Cross-Functional Collaboration  ·  FinCEN Regulatory Standards  ·  Risk Mitigation</w:t>
      </w:r>
    </w:p>
    <w:sectPr w:rsidR="002A2953">
      <w:pgSz w:w="12240" w:h="15840"/>
      <w:pgMar w:top="800" w:right="1080" w:bottom="8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E1C"/>
    <w:multiLevelType w:val="hybridMultilevel"/>
    <w:tmpl w:val="00BEB504"/>
    <w:lvl w:ilvl="0" w:tplc="0B8C5BBC">
      <w:start w:val="1"/>
      <w:numFmt w:val="bullet"/>
      <w:lvlText w:val="●"/>
      <w:lvlJc w:val="left"/>
      <w:pPr>
        <w:ind w:left="720" w:hanging="360"/>
      </w:pPr>
    </w:lvl>
    <w:lvl w:ilvl="1" w:tplc="9EAA4CEC">
      <w:start w:val="1"/>
      <w:numFmt w:val="bullet"/>
      <w:lvlText w:val="○"/>
      <w:lvlJc w:val="left"/>
      <w:pPr>
        <w:ind w:left="1440" w:hanging="360"/>
      </w:pPr>
    </w:lvl>
    <w:lvl w:ilvl="2" w:tplc="7946E3A8">
      <w:start w:val="1"/>
      <w:numFmt w:val="bullet"/>
      <w:lvlText w:val="■"/>
      <w:lvlJc w:val="left"/>
      <w:pPr>
        <w:ind w:left="2160" w:hanging="360"/>
      </w:pPr>
    </w:lvl>
    <w:lvl w:ilvl="3" w:tplc="5AC481BA">
      <w:start w:val="1"/>
      <w:numFmt w:val="bullet"/>
      <w:lvlText w:val="●"/>
      <w:lvlJc w:val="left"/>
      <w:pPr>
        <w:ind w:left="2880" w:hanging="360"/>
      </w:pPr>
    </w:lvl>
    <w:lvl w:ilvl="4" w:tplc="5554CC56">
      <w:start w:val="1"/>
      <w:numFmt w:val="bullet"/>
      <w:lvlText w:val="○"/>
      <w:lvlJc w:val="left"/>
      <w:pPr>
        <w:ind w:left="3600" w:hanging="360"/>
      </w:pPr>
    </w:lvl>
    <w:lvl w:ilvl="5" w:tplc="B610FB66">
      <w:start w:val="1"/>
      <w:numFmt w:val="bullet"/>
      <w:lvlText w:val="■"/>
      <w:lvlJc w:val="left"/>
      <w:pPr>
        <w:ind w:left="4320" w:hanging="360"/>
      </w:pPr>
    </w:lvl>
    <w:lvl w:ilvl="6" w:tplc="FC165FF2">
      <w:start w:val="1"/>
      <w:numFmt w:val="bullet"/>
      <w:lvlText w:val="●"/>
      <w:lvlJc w:val="left"/>
      <w:pPr>
        <w:ind w:left="5040" w:hanging="360"/>
      </w:pPr>
    </w:lvl>
    <w:lvl w:ilvl="7" w:tplc="50E25BB6">
      <w:start w:val="1"/>
      <w:numFmt w:val="bullet"/>
      <w:lvlText w:val="●"/>
      <w:lvlJc w:val="left"/>
      <w:pPr>
        <w:ind w:left="5760" w:hanging="360"/>
      </w:pPr>
    </w:lvl>
    <w:lvl w:ilvl="8" w:tplc="B5C0F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AB5178"/>
    <w:multiLevelType w:val="hybridMultilevel"/>
    <w:tmpl w:val="48485582"/>
    <w:lvl w:ilvl="0" w:tplc="EBAE3924">
      <w:start w:val="1"/>
      <w:numFmt w:val="bullet"/>
      <w:lvlText w:val="•"/>
      <w:lvlJc w:val="left"/>
      <w:pPr>
        <w:ind w:left="480" w:hanging="280"/>
      </w:pPr>
    </w:lvl>
    <w:lvl w:ilvl="1" w:tplc="9E886506">
      <w:numFmt w:val="decimal"/>
      <w:lvlText w:val=""/>
      <w:lvlJc w:val="left"/>
    </w:lvl>
    <w:lvl w:ilvl="2" w:tplc="08E6DF34">
      <w:numFmt w:val="decimal"/>
      <w:lvlText w:val=""/>
      <w:lvlJc w:val="left"/>
    </w:lvl>
    <w:lvl w:ilvl="3" w:tplc="5B4CF5B8">
      <w:numFmt w:val="decimal"/>
      <w:lvlText w:val=""/>
      <w:lvlJc w:val="left"/>
    </w:lvl>
    <w:lvl w:ilvl="4" w:tplc="5A68B5AC">
      <w:numFmt w:val="decimal"/>
      <w:lvlText w:val=""/>
      <w:lvlJc w:val="left"/>
    </w:lvl>
    <w:lvl w:ilvl="5" w:tplc="123CEDEC">
      <w:numFmt w:val="decimal"/>
      <w:lvlText w:val=""/>
      <w:lvlJc w:val="left"/>
    </w:lvl>
    <w:lvl w:ilvl="6" w:tplc="0C98940A">
      <w:numFmt w:val="decimal"/>
      <w:lvlText w:val=""/>
      <w:lvlJc w:val="left"/>
    </w:lvl>
    <w:lvl w:ilvl="7" w:tplc="E48A220E">
      <w:numFmt w:val="decimal"/>
      <w:lvlText w:val=""/>
      <w:lvlJc w:val="left"/>
    </w:lvl>
    <w:lvl w:ilvl="8" w:tplc="D17C32E4">
      <w:numFmt w:val="decimal"/>
      <w:lvlText w:val=""/>
      <w:lvlJc w:val="left"/>
    </w:lvl>
  </w:abstractNum>
  <w:num w:numId="1" w16cid:durableId="1951468925">
    <w:abstractNumId w:val="0"/>
    <w:lvlOverride w:ilvl="0">
      <w:startOverride w:val="1"/>
    </w:lvlOverride>
  </w:num>
  <w:num w:numId="2" w16cid:durableId="1918587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953"/>
    <w:rsid w:val="00140314"/>
    <w:rsid w:val="001E3899"/>
    <w:rsid w:val="002A2953"/>
    <w:rsid w:val="007B4BEE"/>
    <w:rsid w:val="00ED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BB57A"/>
  <w15:docId w15:val="{3B60F3F0-1DDB-6442-9047-567E0A21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484</Words>
  <Characters>3365</Characters>
  <Application>Microsoft Office Word</Application>
  <DocSecurity>0</DocSecurity>
  <Lines>53</Lines>
  <Paragraphs>35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Priyam Shah</cp:lastModifiedBy>
  <cp:revision>4</cp:revision>
  <dcterms:created xsi:type="dcterms:W3CDTF">2026-05-08T00:08:00Z</dcterms:created>
  <dcterms:modified xsi:type="dcterms:W3CDTF">2026-05-08T00:38:00Z</dcterms:modified>
</cp:coreProperties>
</file>