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A7081" w:rsidRPr="00244B68" w:rsidRDefault="002A7081">
      <w:pPr>
        <w:spacing w:after="500"/>
        <w:rPr>
          <w:rFonts w:ascii="Times New Roman" w:hAnsi="Times New Roman" w:cs="Times New Roman"/>
        </w:rPr>
      </w:pPr>
    </w:p>
    <w:p w:rsidR="002A7081" w:rsidRPr="00FF677E" w:rsidRDefault="000A24F2" w:rsidP="00AC3A47">
      <w:pPr>
        <w:spacing w:after="60"/>
        <w:jc w:val="center"/>
        <w:rPr>
          <w:rFonts w:ascii="Times New Roman" w:hAnsi="Times New Roman" w:cs="Times New Roman"/>
          <w:b/>
          <w:color w:val="215E99" w:themeColor="text2" w:themeTint="BF"/>
          <w:sz w:val="52"/>
          <w:szCs w:val="52"/>
        </w:rPr>
      </w:pPr>
      <w:r w:rsidRPr="00FF677E">
        <w:rPr>
          <w:rFonts w:ascii="Times New Roman" w:hAnsi="Times New Roman" w:cs="Times New Roman"/>
          <w:b/>
          <w:bCs/>
          <w:color w:val="215E99" w:themeColor="text2" w:themeTint="BF"/>
          <w:sz w:val="52"/>
          <w:szCs w:val="52"/>
        </w:rPr>
        <w:t>Infosys</w:t>
      </w:r>
      <w:r w:rsidR="00AC3A47" w:rsidRPr="00FF677E">
        <w:rPr>
          <w:rFonts w:ascii="Times New Roman" w:hAnsi="Times New Roman" w:cs="Times New Roman"/>
          <w:b/>
          <w:bCs/>
          <w:color w:val="215E99" w:themeColor="text2" w:themeTint="BF"/>
          <w:sz w:val="52"/>
          <w:szCs w:val="52"/>
        </w:rPr>
        <w:t xml:space="preserve"> Springboard Virtual Internship 7.0</w:t>
      </w:r>
    </w:p>
    <w:p w:rsidR="00AC3A47" w:rsidRPr="00AC3A47" w:rsidRDefault="00AC3A47" w:rsidP="00AC3A47">
      <w:pPr>
        <w:pBdr>
          <w:bottom w:val="single" w:sz="18" w:space="8" w:color="0F7FC4"/>
        </w:pBdr>
        <w:spacing w:after="40"/>
        <w:rPr>
          <w:rFonts w:ascii="Times New Roman" w:hAnsi="Times New Roman" w:cs="Times New Roman"/>
          <w:sz w:val="48"/>
          <w:szCs w:val="48"/>
        </w:rPr>
      </w:pPr>
      <w:r>
        <w:rPr>
          <w:rFonts w:ascii="Times New Roman" w:hAnsi="Times New Roman" w:cs="Times New Roman"/>
          <w:sz w:val="48"/>
          <w:szCs w:val="48"/>
        </w:rPr>
        <w:t xml:space="preserve">                            </w:t>
      </w:r>
      <w:r w:rsidR="00BE257D">
        <w:rPr>
          <w:rFonts w:ascii="Times New Roman" w:hAnsi="Times New Roman" w:cs="Times New Roman"/>
          <w:color w:val="153D63" w:themeColor="text2" w:themeTint="E6"/>
          <w:sz w:val="48"/>
          <w:szCs w:val="48"/>
        </w:rPr>
        <w:t>Project Completion Report</w:t>
      </w:r>
      <w:bookmarkStart w:id="0" w:name="_GoBack"/>
      <w:bookmarkEnd w:id="0"/>
    </w:p>
    <w:p w:rsidR="002A7081" w:rsidRPr="00244B68" w:rsidRDefault="002A7081">
      <w:pPr>
        <w:spacing w:after="200"/>
        <w:rPr>
          <w:rFonts w:ascii="Times New Roman" w:hAnsi="Times New Roman" w:cs="Times New Roman"/>
        </w:rPr>
      </w:pPr>
    </w:p>
    <w:p w:rsidR="00DB62A5" w:rsidRPr="00D77EA3" w:rsidRDefault="00DB62A5" w:rsidP="00D77EA3">
      <w:pPr>
        <w:spacing w:before="320" w:after="160" w:line="276" w:lineRule="auto"/>
        <w:rPr>
          <w:rFonts w:ascii="Times New Roman" w:eastAsia="Times New Roman" w:hAnsi="Times New Roman" w:cs="Times New Roman"/>
          <w:b/>
          <w:bCs/>
          <w:color w:val="auto"/>
          <w:sz w:val="24"/>
          <w:szCs w:val="24"/>
        </w:rPr>
      </w:pPr>
      <w:r>
        <w:rPr>
          <w:rFonts w:ascii="Times New Roman" w:eastAsia="Times New Roman" w:hAnsi="Times New Roman" w:cs="Times New Roman"/>
          <w:b/>
          <w:bCs/>
          <w:color w:val="auto"/>
          <w:sz w:val="24"/>
          <w:szCs w:val="24"/>
        </w:rPr>
        <w:t>Team Name: Team C | Batch 1 |</w:t>
      </w:r>
      <w:r w:rsidR="00AC3A47">
        <w:rPr>
          <w:rFonts w:ascii="Times New Roman" w:eastAsia="Times New Roman" w:hAnsi="Times New Roman" w:cs="Times New Roman"/>
          <w:b/>
          <w:bCs/>
          <w:color w:val="auto"/>
          <w:sz w:val="24"/>
          <w:szCs w:val="24"/>
        </w:rPr>
        <w:t xml:space="preserve"> Group 1</w:t>
      </w:r>
    </w:p>
    <w:p w:rsidR="00DB62A5" w:rsidRPr="00D77EA3" w:rsidRDefault="00DB62A5" w:rsidP="00D77EA3">
      <w:pPr>
        <w:spacing w:before="320" w:after="160" w:line="276" w:lineRule="auto"/>
        <w:rPr>
          <w:rFonts w:ascii="Times New Roman" w:eastAsia="Times New Roman" w:hAnsi="Times New Roman" w:cs="Times New Roman"/>
          <w:b/>
          <w:bCs/>
          <w:color w:val="auto"/>
          <w:sz w:val="24"/>
          <w:szCs w:val="24"/>
        </w:rPr>
      </w:pPr>
      <w:r>
        <w:rPr>
          <w:rFonts w:ascii="Times New Roman" w:eastAsia="Times New Roman" w:hAnsi="Times New Roman" w:cs="Times New Roman"/>
          <w:b/>
          <w:bCs/>
          <w:color w:val="auto"/>
          <w:sz w:val="24"/>
          <w:szCs w:val="24"/>
        </w:rPr>
        <w:t>Team Members: Siddhant Singh, Priyam Sinha, Ponnuru Nithiin</w:t>
      </w:r>
    </w:p>
    <w:p w:rsidR="00DB62A5" w:rsidRPr="00D77EA3" w:rsidRDefault="00DB62A5" w:rsidP="00D77EA3">
      <w:pPr>
        <w:spacing w:before="320" w:after="160" w:line="276" w:lineRule="auto"/>
        <w:rPr>
          <w:rFonts w:ascii="Times New Roman" w:eastAsia="Times New Roman" w:hAnsi="Times New Roman" w:cs="Times New Roman"/>
          <w:b/>
          <w:bCs/>
          <w:color w:val="auto"/>
          <w:sz w:val="24"/>
          <w:szCs w:val="24"/>
        </w:rPr>
      </w:pPr>
      <w:r>
        <w:rPr>
          <w:rFonts w:ascii="Times New Roman" w:eastAsia="Times New Roman" w:hAnsi="Times New Roman" w:cs="Times New Roman"/>
          <w:b/>
          <w:bCs/>
          <w:color w:val="auto"/>
          <w:sz w:val="24"/>
          <w:szCs w:val="24"/>
        </w:rPr>
        <w:t>Mentor Name: M</w:t>
      </w:r>
      <w:r w:rsidR="00E8011E">
        <w:rPr>
          <w:rFonts w:ascii="Times New Roman" w:eastAsia="Times New Roman" w:hAnsi="Times New Roman" w:cs="Times New Roman"/>
          <w:b/>
          <w:bCs/>
          <w:color w:val="auto"/>
          <w:sz w:val="24"/>
          <w:szCs w:val="24"/>
        </w:rPr>
        <w:t>s</w:t>
      </w:r>
      <w:r>
        <w:rPr>
          <w:rFonts w:ascii="Times New Roman" w:eastAsia="Times New Roman" w:hAnsi="Times New Roman" w:cs="Times New Roman"/>
          <w:b/>
          <w:bCs/>
          <w:color w:val="auto"/>
          <w:sz w:val="24"/>
          <w:szCs w:val="24"/>
        </w:rPr>
        <w:t>. Nithyasri S J</w:t>
      </w:r>
    </w:p>
    <w:p w:rsidR="00DB62A5" w:rsidRPr="00D77EA3" w:rsidRDefault="00DB62A5" w:rsidP="00D77EA3">
      <w:pPr>
        <w:spacing w:before="320" w:after="160" w:line="276" w:lineRule="auto"/>
        <w:rPr>
          <w:rFonts w:ascii="Times New Roman" w:eastAsia="Times New Roman" w:hAnsi="Times New Roman" w:cs="Times New Roman"/>
          <w:b/>
          <w:bCs/>
          <w:color w:val="auto"/>
          <w:sz w:val="24"/>
          <w:szCs w:val="24"/>
        </w:rPr>
      </w:pPr>
      <w:r>
        <w:rPr>
          <w:rFonts w:ascii="Times New Roman" w:eastAsia="Times New Roman" w:hAnsi="Times New Roman" w:cs="Times New Roman"/>
          <w:b/>
          <w:bCs/>
          <w:color w:val="auto"/>
          <w:sz w:val="24"/>
          <w:szCs w:val="24"/>
        </w:rPr>
        <w:t>Internship Duration: 8 weeks</w:t>
      </w:r>
    </w:p>
    <w:p w:rsidR="00DB62A5" w:rsidRPr="00D77EA3" w:rsidRDefault="00DB62A5" w:rsidP="00D77EA3">
      <w:pPr>
        <w:spacing w:before="320" w:after="160" w:line="276" w:lineRule="auto"/>
        <w:rPr>
          <w:rFonts w:ascii="Times New Roman" w:eastAsia="Times New Roman" w:hAnsi="Times New Roman" w:cs="Times New Roman"/>
          <w:b/>
          <w:bCs/>
          <w:color w:val="auto"/>
          <w:sz w:val="24"/>
          <w:szCs w:val="24"/>
        </w:rPr>
      </w:pPr>
      <w:r>
        <w:rPr>
          <w:rFonts w:ascii="Times New Roman" w:eastAsia="Times New Roman" w:hAnsi="Times New Roman" w:cs="Times New Roman"/>
          <w:b/>
          <w:bCs/>
          <w:color w:val="auto"/>
          <w:sz w:val="24"/>
          <w:szCs w:val="24"/>
        </w:rPr>
        <w:t>Year: 2026</w:t>
      </w:r>
    </w:p>
    <w:p w:rsidR="00BE2159" w:rsidRPr="00244B68" w:rsidRDefault="000A24F2">
      <w:pPr>
        <w:rPr>
          <w:rFonts w:ascii="Times New Roman" w:hAnsi="Times New Roman" w:cs="Times New Roman"/>
        </w:rPr>
      </w:pPr>
      <w:r>
        <w:rPr>
          <w:rFonts w:ascii="Times New Roman" w:hAnsi="Times New Roman" w:cs="Times New Roman"/>
        </w:rPr>
        <w:br w:type="page"/>
      </w:r>
    </w:p>
    <w:p w:rsidR="002A7081" w:rsidRPr="00244B68" w:rsidRDefault="002A7081">
      <w:pPr>
        <w:rPr>
          <w:rFonts w:ascii="Times New Roman" w:hAnsi="Times New Roman" w:cs="Times New Roman"/>
        </w:rPr>
      </w:pPr>
    </w:p>
    <w:p w:rsidR="002A7081" w:rsidRPr="00244B68" w:rsidRDefault="000A24F2">
      <w:pPr>
        <w:pBdr>
          <w:bottom w:val="single" w:sz="14" w:space="4" w:color="0F7FC4"/>
        </w:pBdr>
        <w:spacing w:after="200"/>
        <w:rPr>
          <w:rFonts w:ascii="Times New Roman" w:hAnsi="Times New Roman" w:cs="Times New Roman"/>
        </w:rPr>
      </w:pPr>
      <w:r>
        <w:rPr>
          <w:rFonts w:ascii="Times New Roman" w:hAnsi="Times New Roman" w:cs="Times New Roman"/>
          <w:b/>
          <w:bCs/>
          <w:color w:val="0A4A7A"/>
          <w:sz w:val="30"/>
          <w:szCs w:val="30"/>
        </w:rPr>
        <w:t>Table of Contents</w:t>
      </w:r>
    </w:p>
    <w:p w:rsidR="002A7081" w:rsidRPr="00244B68" w:rsidRDefault="000A24F2">
      <w:pPr>
        <w:tabs>
          <w:tab w:val="right" w:leader="dot" w:pos="9740"/>
        </w:tabs>
        <w:spacing w:after="60"/>
        <w:rPr>
          <w:rFonts w:ascii="Times New Roman" w:hAnsi="Times New Roman" w:cs="Times New Roman"/>
          <w:b/>
          <w:bCs/>
          <w:color w:val="0B639C"/>
        </w:rPr>
      </w:pPr>
      <w:r>
        <w:rPr>
          <w:rFonts w:ascii="Times New Roman" w:hAnsi="Times New Roman" w:cs="Times New Roman"/>
          <w:b/>
          <w:bCs/>
          <w:color w:val="0A4A7A"/>
        </w:rPr>
        <w:t>Team Details</w:t>
      </w:r>
      <w:r>
        <w:rPr>
          <w:rFonts w:ascii="Times New Roman" w:hAnsi="Times New Roman" w:cs="Times New Roman"/>
        </w:rPr>
        <w:tab/>
      </w:r>
      <w:r>
        <w:rPr>
          <w:rFonts w:ascii="Times New Roman" w:hAnsi="Times New Roman" w:cs="Times New Roman"/>
          <w:b/>
          <w:bCs/>
          <w:color w:val="0B639C"/>
        </w:rPr>
        <w:t>3</w:t>
      </w:r>
    </w:p>
    <w:p w:rsidR="002A7081" w:rsidRPr="00244B68" w:rsidRDefault="000A24F2">
      <w:pPr>
        <w:tabs>
          <w:tab w:val="right" w:leader="dot" w:pos="9740"/>
        </w:tabs>
        <w:spacing w:after="60"/>
        <w:rPr>
          <w:rFonts w:ascii="Times New Roman" w:hAnsi="Times New Roman" w:cs="Times New Roman"/>
        </w:rPr>
      </w:pPr>
      <w:r>
        <w:rPr>
          <w:rFonts w:ascii="Times New Roman" w:hAnsi="Times New Roman" w:cs="Times New Roman"/>
          <w:b/>
          <w:bCs/>
          <w:color w:val="0A4A7A"/>
        </w:rPr>
        <w:t>1.  Project Title</w:t>
      </w:r>
      <w:r>
        <w:rPr>
          <w:rFonts w:ascii="Times New Roman" w:hAnsi="Times New Roman" w:cs="Times New Roman"/>
        </w:rPr>
        <w:tab/>
      </w:r>
      <w:r>
        <w:rPr>
          <w:rFonts w:ascii="Times New Roman" w:hAnsi="Times New Roman" w:cs="Times New Roman"/>
          <w:b/>
          <w:bCs/>
          <w:color w:val="0B639C"/>
        </w:rPr>
        <w:t>3</w:t>
      </w:r>
    </w:p>
    <w:p w:rsidR="002A7081" w:rsidRPr="00244B68" w:rsidRDefault="000A24F2">
      <w:pPr>
        <w:tabs>
          <w:tab w:val="right" w:leader="dot" w:pos="9740"/>
        </w:tabs>
        <w:spacing w:after="60"/>
        <w:rPr>
          <w:rFonts w:ascii="Times New Roman" w:hAnsi="Times New Roman" w:cs="Times New Roman"/>
        </w:rPr>
      </w:pPr>
      <w:r>
        <w:rPr>
          <w:rFonts w:ascii="Times New Roman" w:hAnsi="Times New Roman" w:cs="Times New Roman"/>
          <w:b/>
          <w:bCs/>
          <w:color w:val="0A4A7A"/>
        </w:rPr>
        <w:t>2.  Project Objective</w:t>
      </w:r>
      <w:r>
        <w:rPr>
          <w:rFonts w:ascii="Times New Roman" w:hAnsi="Times New Roman" w:cs="Times New Roman"/>
        </w:rPr>
        <w:tab/>
      </w:r>
      <w:r>
        <w:rPr>
          <w:rFonts w:ascii="Times New Roman" w:hAnsi="Times New Roman" w:cs="Times New Roman"/>
          <w:b/>
          <w:bCs/>
          <w:color w:val="0B639C"/>
        </w:rPr>
        <w:t>3</w:t>
      </w:r>
    </w:p>
    <w:p w:rsidR="002A7081" w:rsidRPr="00244B68" w:rsidRDefault="000A24F2">
      <w:pPr>
        <w:tabs>
          <w:tab w:val="right" w:leader="dot" w:pos="9740"/>
        </w:tabs>
        <w:spacing w:after="60"/>
        <w:rPr>
          <w:rFonts w:ascii="Times New Roman" w:hAnsi="Times New Roman" w:cs="Times New Roman"/>
        </w:rPr>
      </w:pPr>
      <w:r>
        <w:rPr>
          <w:rFonts w:ascii="Times New Roman" w:hAnsi="Times New Roman" w:cs="Times New Roman"/>
          <w:b/>
          <w:bCs/>
          <w:color w:val="0A4A7A"/>
        </w:rPr>
        <w:t>3.  Project Description</w:t>
      </w:r>
      <w:r>
        <w:rPr>
          <w:rFonts w:ascii="Times New Roman" w:hAnsi="Times New Roman" w:cs="Times New Roman"/>
        </w:rPr>
        <w:tab/>
      </w:r>
      <w:r>
        <w:rPr>
          <w:rFonts w:ascii="Times New Roman" w:hAnsi="Times New Roman" w:cs="Times New Roman"/>
          <w:b/>
          <w:bCs/>
          <w:color w:val="0B639C"/>
        </w:rPr>
        <w:t>3</w:t>
      </w:r>
    </w:p>
    <w:p w:rsidR="002A7081" w:rsidRPr="00244B68" w:rsidRDefault="000A24F2">
      <w:pPr>
        <w:tabs>
          <w:tab w:val="right" w:leader="dot" w:pos="9740"/>
        </w:tabs>
        <w:spacing w:after="30"/>
        <w:ind w:left="360"/>
        <w:rPr>
          <w:rFonts w:ascii="Times New Roman" w:hAnsi="Times New Roman" w:cs="Times New Roman"/>
        </w:rPr>
      </w:pPr>
      <w:r>
        <w:rPr>
          <w:rFonts w:ascii="Times New Roman" w:hAnsi="Times New Roman" w:cs="Times New Roman"/>
          <w:sz w:val="19"/>
          <w:szCs w:val="19"/>
        </w:rPr>
        <w:t>3.1  Overview   ·   3.2  Approach   ·   3.3  Technology   ·   3.4  Insights   ·   3.5  Real-World Impact</w:t>
      </w:r>
      <w:r>
        <w:rPr>
          <w:rFonts w:ascii="Times New Roman" w:hAnsi="Times New Roman" w:cs="Times New Roman"/>
        </w:rPr>
        <w:tab/>
      </w:r>
      <w:r>
        <w:rPr>
          <w:rFonts w:ascii="Times New Roman" w:hAnsi="Times New Roman" w:cs="Times New Roman"/>
          <w:sz w:val="19"/>
          <w:szCs w:val="19"/>
        </w:rPr>
        <w:t>3</w:t>
      </w:r>
    </w:p>
    <w:p w:rsidR="002A7081" w:rsidRPr="00244B68" w:rsidRDefault="000A24F2">
      <w:pPr>
        <w:tabs>
          <w:tab w:val="right" w:leader="dot" w:pos="9740"/>
        </w:tabs>
        <w:spacing w:after="60"/>
        <w:rPr>
          <w:rFonts w:ascii="Times New Roman" w:hAnsi="Times New Roman" w:cs="Times New Roman"/>
        </w:rPr>
      </w:pPr>
      <w:r>
        <w:rPr>
          <w:rFonts w:ascii="Times New Roman" w:hAnsi="Times New Roman" w:cs="Times New Roman"/>
          <w:b/>
          <w:bCs/>
          <w:color w:val="0A4A7A"/>
        </w:rPr>
        <w:t>4.  Timeline Overview</w:t>
      </w:r>
      <w:r>
        <w:rPr>
          <w:rFonts w:ascii="Times New Roman" w:hAnsi="Times New Roman" w:cs="Times New Roman"/>
        </w:rPr>
        <w:tab/>
      </w:r>
      <w:r>
        <w:rPr>
          <w:rFonts w:ascii="Times New Roman" w:hAnsi="Times New Roman" w:cs="Times New Roman"/>
          <w:b/>
          <w:bCs/>
          <w:color w:val="0B639C"/>
        </w:rPr>
        <w:t>5</w:t>
      </w:r>
    </w:p>
    <w:p w:rsidR="002A7081" w:rsidRPr="00244B68" w:rsidRDefault="000A24F2">
      <w:pPr>
        <w:tabs>
          <w:tab w:val="right" w:leader="dot" w:pos="9740"/>
        </w:tabs>
        <w:spacing w:after="60"/>
        <w:rPr>
          <w:rFonts w:ascii="Times New Roman" w:hAnsi="Times New Roman" w:cs="Times New Roman"/>
        </w:rPr>
      </w:pPr>
      <w:r>
        <w:rPr>
          <w:rFonts w:ascii="Times New Roman" w:hAnsi="Times New Roman" w:cs="Times New Roman"/>
          <w:b/>
          <w:bCs/>
          <w:color w:val="0A4A7A"/>
        </w:rPr>
        <w:t>5a.  Key Milestones</w:t>
      </w:r>
      <w:r>
        <w:rPr>
          <w:rFonts w:ascii="Times New Roman" w:hAnsi="Times New Roman" w:cs="Times New Roman"/>
        </w:rPr>
        <w:tab/>
      </w:r>
      <w:r>
        <w:rPr>
          <w:rFonts w:ascii="Times New Roman" w:hAnsi="Times New Roman" w:cs="Times New Roman"/>
          <w:b/>
          <w:bCs/>
          <w:color w:val="0B639C"/>
        </w:rPr>
        <w:t>6</w:t>
      </w:r>
    </w:p>
    <w:p w:rsidR="002A7081" w:rsidRPr="00244B68" w:rsidRDefault="000A24F2">
      <w:pPr>
        <w:tabs>
          <w:tab w:val="right" w:leader="dot" w:pos="9740"/>
        </w:tabs>
        <w:spacing w:after="60"/>
        <w:rPr>
          <w:rFonts w:ascii="Times New Roman" w:hAnsi="Times New Roman" w:cs="Times New Roman"/>
        </w:rPr>
      </w:pPr>
      <w:r>
        <w:rPr>
          <w:rFonts w:ascii="Times New Roman" w:hAnsi="Times New Roman" w:cs="Times New Roman"/>
          <w:b/>
          <w:bCs/>
          <w:color w:val="0A4A7A"/>
        </w:rPr>
        <w:t>5b.  Project Execution Details</w:t>
      </w:r>
      <w:r>
        <w:rPr>
          <w:rFonts w:ascii="Times New Roman" w:hAnsi="Times New Roman" w:cs="Times New Roman"/>
        </w:rPr>
        <w:tab/>
      </w:r>
      <w:r>
        <w:rPr>
          <w:rFonts w:ascii="Times New Roman" w:hAnsi="Times New Roman" w:cs="Times New Roman"/>
          <w:b/>
          <w:bCs/>
          <w:color w:val="0B639C"/>
        </w:rPr>
        <w:t>6</w:t>
      </w:r>
    </w:p>
    <w:p w:rsidR="002A7081" w:rsidRPr="00244B68" w:rsidRDefault="000A24F2">
      <w:pPr>
        <w:tabs>
          <w:tab w:val="right" w:leader="dot" w:pos="9740"/>
        </w:tabs>
        <w:spacing w:after="30"/>
        <w:ind w:left="360"/>
        <w:rPr>
          <w:rFonts w:ascii="Times New Roman" w:hAnsi="Times New Roman" w:cs="Times New Roman"/>
        </w:rPr>
      </w:pPr>
      <w:r>
        <w:rPr>
          <w:rFonts w:ascii="Times New Roman" w:hAnsi="Times New Roman" w:cs="Times New Roman"/>
          <w:sz w:val="19"/>
          <w:szCs w:val="19"/>
        </w:rPr>
        <w:t>Execution Workflow  ·  D</w:t>
      </w:r>
      <w:r w:rsidR="004E216D">
        <w:rPr>
          <w:rFonts w:ascii="Times New Roman" w:hAnsi="Times New Roman" w:cs="Times New Roman"/>
          <w:sz w:val="19"/>
          <w:szCs w:val="19"/>
        </w:rPr>
        <w:t>ashboards 1–7</w:t>
      </w:r>
      <w:r>
        <w:rPr>
          <w:rFonts w:ascii="Times New Roman" w:hAnsi="Times New Roman" w:cs="Times New Roman"/>
        </w:rPr>
        <w:tab/>
      </w:r>
      <w:r>
        <w:rPr>
          <w:rFonts w:ascii="Times New Roman" w:hAnsi="Times New Roman" w:cs="Times New Roman"/>
          <w:sz w:val="19"/>
          <w:szCs w:val="19"/>
        </w:rPr>
        <w:t>6</w:t>
      </w:r>
    </w:p>
    <w:p w:rsidR="002A7081" w:rsidRPr="00244B68" w:rsidRDefault="000A24F2">
      <w:pPr>
        <w:tabs>
          <w:tab w:val="right" w:leader="dot" w:pos="9740"/>
        </w:tabs>
        <w:spacing w:after="60"/>
        <w:rPr>
          <w:rFonts w:ascii="Times New Roman" w:hAnsi="Times New Roman" w:cs="Times New Roman"/>
        </w:rPr>
      </w:pPr>
      <w:r>
        <w:rPr>
          <w:rFonts w:ascii="Times New Roman" w:hAnsi="Times New Roman" w:cs="Times New Roman"/>
          <w:b/>
          <w:bCs/>
          <w:color w:val="0A4A7A"/>
        </w:rPr>
        <w:t>6.  Snapshots / Screenshots</w:t>
      </w:r>
      <w:r>
        <w:rPr>
          <w:rFonts w:ascii="Times New Roman" w:hAnsi="Times New Roman" w:cs="Times New Roman"/>
        </w:rPr>
        <w:tab/>
      </w:r>
      <w:r>
        <w:rPr>
          <w:rFonts w:ascii="Times New Roman" w:hAnsi="Times New Roman" w:cs="Times New Roman"/>
          <w:b/>
          <w:bCs/>
          <w:color w:val="0B639C"/>
        </w:rPr>
        <w:t>10</w:t>
      </w:r>
    </w:p>
    <w:p w:rsidR="002A7081" w:rsidRPr="00244B68" w:rsidRDefault="000A24F2">
      <w:pPr>
        <w:tabs>
          <w:tab w:val="right" w:leader="dot" w:pos="9740"/>
        </w:tabs>
        <w:spacing w:after="60"/>
        <w:rPr>
          <w:rFonts w:ascii="Times New Roman" w:hAnsi="Times New Roman" w:cs="Times New Roman"/>
        </w:rPr>
      </w:pPr>
      <w:r>
        <w:rPr>
          <w:rFonts w:ascii="Times New Roman" w:hAnsi="Times New Roman" w:cs="Times New Roman"/>
          <w:b/>
          <w:bCs/>
          <w:color w:val="0A4A7A"/>
        </w:rPr>
        <w:t>7.  Challenges Faced (Milestone 3)</w:t>
      </w:r>
      <w:r>
        <w:rPr>
          <w:rFonts w:ascii="Times New Roman" w:hAnsi="Times New Roman" w:cs="Times New Roman"/>
        </w:rPr>
        <w:tab/>
      </w:r>
      <w:r>
        <w:rPr>
          <w:rFonts w:ascii="Times New Roman" w:hAnsi="Times New Roman" w:cs="Times New Roman"/>
          <w:b/>
          <w:bCs/>
          <w:color w:val="0B639C"/>
        </w:rPr>
        <w:t>11</w:t>
      </w:r>
    </w:p>
    <w:p w:rsidR="002A7081" w:rsidRPr="00244B68" w:rsidRDefault="000A24F2">
      <w:pPr>
        <w:tabs>
          <w:tab w:val="right" w:leader="dot" w:pos="9740"/>
        </w:tabs>
        <w:spacing w:after="60"/>
        <w:rPr>
          <w:rFonts w:ascii="Times New Roman" w:hAnsi="Times New Roman" w:cs="Times New Roman"/>
        </w:rPr>
      </w:pPr>
      <w:r>
        <w:rPr>
          <w:rFonts w:ascii="Times New Roman" w:hAnsi="Times New Roman" w:cs="Times New Roman"/>
          <w:b/>
          <w:bCs/>
          <w:color w:val="0A4A7A"/>
        </w:rPr>
        <w:t>8.  Learnings &amp; Skills Acquired</w:t>
      </w:r>
      <w:r>
        <w:rPr>
          <w:rFonts w:ascii="Times New Roman" w:hAnsi="Times New Roman" w:cs="Times New Roman"/>
        </w:rPr>
        <w:tab/>
      </w:r>
      <w:r>
        <w:rPr>
          <w:rFonts w:ascii="Times New Roman" w:hAnsi="Times New Roman" w:cs="Times New Roman"/>
          <w:b/>
          <w:bCs/>
          <w:color w:val="0B639C"/>
        </w:rPr>
        <w:t>11</w:t>
      </w:r>
    </w:p>
    <w:p w:rsidR="002A7081" w:rsidRPr="00244B68" w:rsidRDefault="000A24F2">
      <w:pPr>
        <w:tabs>
          <w:tab w:val="right" w:leader="dot" w:pos="9740"/>
        </w:tabs>
        <w:spacing w:after="30"/>
        <w:ind w:left="360"/>
        <w:rPr>
          <w:rFonts w:ascii="Times New Roman" w:hAnsi="Times New Roman" w:cs="Times New Roman"/>
        </w:rPr>
      </w:pPr>
      <w:r>
        <w:rPr>
          <w:rFonts w:ascii="Times New Roman" w:hAnsi="Times New Roman" w:cs="Times New Roman"/>
          <w:sz w:val="19"/>
          <w:szCs w:val="19"/>
        </w:rPr>
        <w:t>8.1 Technical  ·  8.2 Analytical  ·  8.3 Future  ·  8.4 Soft Skills  ·  8.5 Domain</w:t>
      </w:r>
      <w:r>
        <w:rPr>
          <w:rFonts w:ascii="Times New Roman" w:hAnsi="Times New Roman" w:cs="Times New Roman"/>
        </w:rPr>
        <w:tab/>
      </w:r>
      <w:r>
        <w:rPr>
          <w:rFonts w:ascii="Times New Roman" w:hAnsi="Times New Roman" w:cs="Times New Roman"/>
          <w:sz w:val="19"/>
          <w:szCs w:val="19"/>
        </w:rPr>
        <w:t>11</w:t>
      </w:r>
    </w:p>
    <w:p w:rsidR="002A7081" w:rsidRPr="00244B68" w:rsidRDefault="000A24F2">
      <w:pPr>
        <w:tabs>
          <w:tab w:val="right" w:leader="dot" w:pos="9740"/>
        </w:tabs>
        <w:spacing w:after="60"/>
        <w:rPr>
          <w:rFonts w:ascii="Times New Roman" w:hAnsi="Times New Roman" w:cs="Times New Roman"/>
        </w:rPr>
      </w:pPr>
      <w:r>
        <w:rPr>
          <w:rFonts w:ascii="Times New Roman" w:hAnsi="Times New Roman" w:cs="Times New Roman"/>
          <w:b/>
          <w:bCs/>
          <w:color w:val="0A4A7A"/>
        </w:rPr>
        <w:t>9.  Testimonials from Team</w:t>
      </w:r>
      <w:r>
        <w:rPr>
          <w:rFonts w:ascii="Times New Roman" w:hAnsi="Times New Roman" w:cs="Times New Roman"/>
        </w:rPr>
        <w:tab/>
      </w:r>
      <w:r>
        <w:rPr>
          <w:rFonts w:ascii="Times New Roman" w:hAnsi="Times New Roman" w:cs="Times New Roman"/>
          <w:b/>
          <w:bCs/>
          <w:color w:val="0B639C"/>
        </w:rPr>
        <w:t>12</w:t>
      </w:r>
    </w:p>
    <w:p w:rsidR="002A7081" w:rsidRPr="00244B68" w:rsidRDefault="000A24F2">
      <w:pPr>
        <w:tabs>
          <w:tab w:val="right" w:leader="dot" w:pos="9740"/>
        </w:tabs>
        <w:spacing w:after="60"/>
        <w:rPr>
          <w:rFonts w:ascii="Times New Roman" w:hAnsi="Times New Roman" w:cs="Times New Roman"/>
          <w:b/>
          <w:bCs/>
          <w:color w:val="0B639C"/>
        </w:rPr>
      </w:pPr>
      <w:r>
        <w:rPr>
          <w:rFonts w:ascii="Times New Roman" w:hAnsi="Times New Roman" w:cs="Times New Roman"/>
          <w:b/>
          <w:bCs/>
          <w:color w:val="0A4A7A"/>
        </w:rPr>
        <w:t>10.  Conclusion</w:t>
      </w:r>
      <w:r>
        <w:rPr>
          <w:rFonts w:ascii="Times New Roman" w:hAnsi="Times New Roman" w:cs="Times New Roman"/>
        </w:rPr>
        <w:tab/>
      </w:r>
      <w:r>
        <w:rPr>
          <w:rFonts w:ascii="Times New Roman" w:hAnsi="Times New Roman" w:cs="Times New Roman"/>
          <w:b/>
          <w:bCs/>
          <w:color w:val="0B639C"/>
        </w:rPr>
        <w:t>12</w:t>
      </w:r>
    </w:p>
    <w:p w:rsidR="00C67332" w:rsidRPr="00244B68" w:rsidRDefault="001E5CA0" w:rsidP="00AE7D9B">
      <w:pPr>
        <w:tabs>
          <w:tab w:val="right" w:leader="dot" w:pos="9740"/>
        </w:tabs>
        <w:spacing w:after="60"/>
        <w:rPr>
          <w:rFonts w:ascii="Times New Roman" w:hAnsi="Times New Roman" w:cs="Times New Roman"/>
        </w:rPr>
      </w:pPr>
      <w:r>
        <w:rPr>
          <w:rFonts w:ascii="Times New Roman" w:hAnsi="Times New Roman" w:cs="Times New Roman"/>
          <w:b/>
          <w:bCs/>
          <w:color w:val="0B639C"/>
        </w:rPr>
        <w:t xml:space="preserve">11. Acknowledgement </w:t>
      </w:r>
      <w:r>
        <w:rPr>
          <w:rFonts w:ascii="Times New Roman" w:hAnsi="Times New Roman" w:cs="Times New Roman"/>
          <w:b/>
          <w:bCs/>
          <w:color w:val="595959" w:themeColor="text1" w:themeTint="A6"/>
        </w:rPr>
        <w:t>…………………..…………………………………………………………………………</w:t>
      </w:r>
      <w:r>
        <w:rPr>
          <w:rFonts w:ascii="Times New Roman" w:hAnsi="Times New Roman" w:cs="Times New Roman"/>
          <w:b/>
          <w:bCs/>
          <w:color w:val="0B639C"/>
        </w:rPr>
        <w:t xml:space="preserve"> 13</w:t>
      </w:r>
    </w:p>
    <w:p w:rsidR="00EC5B23" w:rsidRDefault="00EC5B23">
      <w:pPr>
        <w:pStyle w:val="Heading1"/>
        <w:pBdr>
          <w:bottom w:val="single" w:sz="14" w:space="4" w:color="0F7FC4"/>
        </w:pBdr>
        <w:spacing w:before="300" w:after="130"/>
        <w:rPr>
          <w:rFonts w:ascii="Times New Roman" w:hAnsi="Times New Roman" w:cs="Times New Roman"/>
        </w:rPr>
      </w:pPr>
    </w:p>
    <w:p w:rsidR="00EC5B23" w:rsidRDefault="00EC5B23">
      <w:pPr>
        <w:pStyle w:val="Heading1"/>
        <w:pBdr>
          <w:bottom w:val="single" w:sz="14" w:space="4" w:color="0F7FC4"/>
        </w:pBdr>
        <w:spacing w:before="300" w:after="130"/>
        <w:rPr>
          <w:rFonts w:ascii="Times New Roman" w:hAnsi="Times New Roman" w:cs="Times New Roman"/>
        </w:rPr>
      </w:pPr>
    </w:p>
    <w:p w:rsidR="00EC5B23" w:rsidRDefault="00EC5B23">
      <w:pPr>
        <w:pStyle w:val="Heading1"/>
        <w:pBdr>
          <w:bottom w:val="single" w:sz="14" w:space="4" w:color="0F7FC4"/>
        </w:pBdr>
        <w:spacing w:before="300" w:after="130"/>
        <w:rPr>
          <w:rFonts w:ascii="Times New Roman" w:hAnsi="Times New Roman" w:cs="Times New Roman"/>
        </w:rPr>
      </w:pPr>
    </w:p>
    <w:p w:rsidR="00EC5B23" w:rsidRDefault="00EC5B23">
      <w:pPr>
        <w:pStyle w:val="Heading1"/>
        <w:pBdr>
          <w:bottom w:val="single" w:sz="14" w:space="4" w:color="0F7FC4"/>
        </w:pBdr>
        <w:spacing w:before="300" w:after="130"/>
        <w:rPr>
          <w:rFonts w:ascii="Times New Roman" w:hAnsi="Times New Roman" w:cs="Times New Roman"/>
        </w:rPr>
      </w:pPr>
    </w:p>
    <w:p w:rsidR="00EC5B23" w:rsidRDefault="00EC5B23">
      <w:pPr>
        <w:pStyle w:val="Heading1"/>
        <w:pBdr>
          <w:bottom w:val="single" w:sz="14" w:space="4" w:color="0F7FC4"/>
        </w:pBdr>
        <w:spacing w:before="300" w:after="130"/>
        <w:rPr>
          <w:rFonts w:ascii="Times New Roman" w:hAnsi="Times New Roman" w:cs="Times New Roman"/>
        </w:rPr>
      </w:pPr>
    </w:p>
    <w:p w:rsidR="00EC5B23" w:rsidRDefault="00EC5B23">
      <w:pPr>
        <w:pStyle w:val="Heading1"/>
        <w:pBdr>
          <w:bottom w:val="single" w:sz="14" w:space="4" w:color="0F7FC4"/>
        </w:pBdr>
        <w:spacing w:before="300" w:after="130"/>
        <w:rPr>
          <w:rFonts w:ascii="Times New Roman" w:hAnsi="Times New Roman" w:cs="Times New Roman"/>
        </w:rPr>
      </w:pPr>
    </w:p>
    <w:p w:rsidR="00EC5B23" w:rsidRDefault="00EC5B23">
      <w:pPr>
        <w:pStyle w:val="Heading1"/>
        <w:pBdr>
          <w:bottom w:val="single" w:sz="14" w:space="4" w:color="0F7FC4"/>
        </w:pBdr>
        <w:spacing w:before="300" w:after="130"/>
        <w:rPr>
          <w:rFonts w:ascii="Times New Roman" w:hAnsi="Times New Roman" w:cs="Times New Roman"/>
        </w:rPr>
      </w:pPr>
    </w:p>
    <w:p w:rsidR="00EC5B23" w:rsidRDefault="00EC5B23">
      <w:pPr>
        <w:pStyle w:val="Heading1"/>
        <w:pBdr>
          <w:bottom w:val="single" w:sz="14" w:space="4" w:color="0F7FC4"/>
        </w:pBdr>
        <w:spacing w:before="300" w:after="130"/>
        <w:rPr>
          <w:rFonts w:ascii="Times New Roman" w:hAnsi="Times New Roman" w:cs="Times New Roman"/>
        </w:rPr>
      </w:pPr>
    </w:p>
    <w:p w:rsidR="00EC5B23" w:rsidRDefault="00EC5B23">
      <w:pPr>
        <w:pStyle w:val="Heading1"/>
        <w:pBdr>
          <w:bottom w:val="single" w:sz="14" w:space="4" w:color="0F7FC4"/>
        </w:pBdr>
        <w:spacing w:before="300" w:after="130"/>
        <w:rPr>
          <w:rFonts w:ascii="Times New Roman" w:hAnsi="Times New Roman" w:cs="Times New Roman"/>
        </w:rPr>
      </w:pPr>
    </w:p>
    <w:p w:rsidR="00EC5B23" w:rsidRDefault="00EC5B23">
      <w:pPr>
        <w:pStyle w:val="Heading1"/>
        <w:pBdr>
          <w:bottom w:val="single" w:sz="14" w:space="4" w:color="0F7FC4"/>
        </w:pBdr>
        <w:spacing w:before="300" w:after="130"/>
        <w:rPr>
          <w:rFonts w:ascii="Times New Roman" w:hAnsi="Times New Roman" w:cs="Times New Roman"/>
        </w:rPr>
      </w:pPr>
    </w:p>
    <w:p w:rsidR="00EC5B23" w:rsidRDefault="00EC5B23">
      <w:pPr>
        <w:pStyle w:val="Heading1"/>
        <w:pBdr>
          <w:bottom w:val="single" w:sz="14" w:space="4" w:color="0F7FC4"/>
        </w:pBdr>
        <w:spacing w:before="300" w:after="130"/>
        <w:rPr>
          <w:rFonts w:ascii="Times New Roman" w:hAnsi="Times New Roman" w:cs="Times New Roman"/>
        </w:rPr>
      </w:pPr>
    </w:p>
    <w:p w:rsidR="00EC5B23" w:rsidRDefault="00EC5B23">
      <w:pPr>
        <w:pStyle w:val="Heading1"/>
        <w:pBdr>
          <w:bottom w:val="single" w:sz="14" w:space="4" w:color="0F7FC4"/>
        </w:pBdr>
        <w:spacing w:before="300" w:after="130"/>
        <w:rPr>
          <w:rFonts w:ascii="Times New Roman" w:hAnsi="Times New Roman" w:cs="Times New Roman"/>
        </w:rPr>
      </w:pPr>
    </w:p>
    <w:p w:rsidR="00EC5B23" w:rsidRDefault="00EC5B23">
      <w:pPr>
        <w:pStyle w:val="Heading1"/>
        <w:pBdr>
          <w:bottom w:val="single" w:sz="14" w:space="4" w:color="0F7FC4"/>
        </w:pBdr>
        <w:spacing w:before="300" w:after="130"/>
        <w:rPr>
          <w:rFonts w:ascii="Times New Roman" w:hAnsi="Times New Roman" w:cs="Times New Roman"/>
        </w:rPr>
      </w:pPr>
    </w:p>
    <w:p w:rsidR="002A7081" w:rsidRPr="00244B68" w:rsidRDefault="000A24F2">
      <w:pPr>
        <w:pStyle w:val="Heading1"/>
        <w:pBdr>
          <w:bottom w:val="single" w:sz="14" w:space="4" w:color="0F7FC4"/>
        </w:pBdr>
        <w:spacing w:before="300" w:after="130"/>
        <w:rPr>
          <w:rFonts w:ascii="Times New Roman" w:hAnsi="Times New Roman" w:cs="Times New Roman"/>
        </w:rPr>
      </w:pPr>
      <w:r>
        <w:rPr>
          <w:rFonts w:ascii="Times New Roman" w:hAnsi="Times New Roman" w:cs="Times New Roman"/>
        </w:rPr>
        <w:lastRenderedPageBreak/>
        <w:t>1. Project Title</w:t>
      </w:r>
    </w:p>
    <w:p w:rsidR="002A7081" w:rsidRPr="00244B68" w:rsidRDefault="00C73C05">
      <w:pPr>
        <w:spacing w:after="130" w:line="276" w:lineRule="auto"/>
        <w:jc w:val="both"/>
        <w:rPr>
          <w:rFonts w:ascii="Times New Roman" w:hAnsi="Times New Roman" w:cs="Times New Roman"/>
        </w:rPr>
      </w:pPr>
      <w:r>
        <w:rPr>
          <w:rFonts w:ascii="Times New Roman" w:hAnsi="Times New Roman" w:cs="Times New Roman"/>
          <w:b/>
          <w:bCs/>
          <w:color w:val="0A4A7A"/>
          <w:sz w:val="24"/>
          <w:szCs w:val="24"/>
        </w:rPr>
        <w:t>Cyber Threat Analytics Platform with Incident Visualization System Group 1</w:t>
      </w:r>
    </w:p>
    <w:p w:rsidR="002A7081" w:rsidRPr="00244B68" w:rsidRDefault="000A24F2">
      <w:pPr>
        <w:pStyle w:val="Heading1"/>
        <w:pBdr>
          <w:bottom w:val="single" w:sz="14" w:space="4" w:color="0F7FC4"/>
        </w:pBdr>
        <w:spacing w:before="300" w:after="130"/>
        <w:rPr>
          <w:rFonts w:ascii="Times New Roman" w:hAnsi="Times New Roman" w:cs="Times New Roman"/>
        </w:rPr>
      </w:pPr>
      <w:r>
        <w:rPr>
          <w:rFonts w:ascii="Times New Roman" w:hAnsi="Times New Roman" w:cs="Times New Roman"/>
        </w:rPr>
        <w:t>2. Project Objective</w:t>
      </w:r>
    </w:p>
    <w:p w:rsidR="002A7081" w:rsidRPr="00244B68" w:rsidRDefault="000A24F2">
      <w:pPr>
        <w:spacing w:after="130" w:line="276" w:lineRule="auto"/>
        <w:jc w:val="both"/>
        <w:rPr>
          <w:rFonts w:ascii="Times New Roman" w:hAnsi="Times New Roman" w:cs="Times New Roman"/>
        </w:rPr>
      </w:pPr>
      <w:r>
        <w:rPr>
          <w:rFonts w:ascii="Times New Roman" w:hAnsi="Times New Roman" w:cs="Times New Roman"/>
        </w:rPr>
        <w:t>The objective of this project is to design and deliver an interactive, end-to-end business-intelligence solution in Microsoft Power BI that consolidates large-scale cybersecurity incident data into a single, coherent analytical framework. The framework enables security analysts, decision-makers and communication teams to detect and quantify attack patterns, assess threat severity, monitor network and user behaviour, and convert 40,000 raw security events into clear, visually communicated and actionable intelligence that supports faster, evidence-based security decisions.</w:t>
      </w:r>
    </w:p>
    <w:p w:rsidR="002A7081" w:rsidRPr="00244B68" w:rsidRDefault="000A24F2">
      <w:pPr>
        <w:pStyle w:val="Heading1"/>
        <w:pBdr>
          <w:bottom w:val="single" w:sz="14" w:space="4" w:color="0F7FC4"/>
        </w:pBdr>
        <w:spacing w:before="300" w:after="130"/>
        <w:rPr>
          <w:rFonts w:ascii="Times New Roman" w:hAnsi="Times New Roman" w:cs="Times New Roman"/>
        </w:rPr>
      </w:pPr>
      <w:r>
        <w:rPr>
          <w:rFonts w:ascii="Times New Roman" w:hAnsi="Times New Roman" w:cs="Times New Roman"/>
        </w:rPr>
        <w:t>3. Project Description</w:t>
      </w:r>
    </w:p>
    <w:p w:rsidR="002A7081" w:rsidRPr="00244B68" w:rsidRDefault="000A24F2">
      <w:pPr>
        <w:pStyle w:val="Heading2"/>
        <w:spacing w:before="200" w:after="80"/>
        <w:rPr>
          <w:rFonts w:ascii="Times New Roman" w:hAnsi="Times New Roman" w:cs="Times New Roman"/>
        </w:rPr>
      </w:pPr>
      <w:r>
        <w:rPr>
          <w:rFonts w:ascii="Segoe UI Symbol" w:hAnsi="Segoe UI Symbol" w:cs="Segoe UI Symbol"/>
          <w:color w:val="0F7FC4"/>
          <w:sz w:val="24"/>
          <w:szCs w:val="24"/>
        </w:rPr>
        <w:t>▍</w:t>
      </w:r>
      <w:r>
        <w:rPr>
          <w:rFonts w:ascii="Times New Roman" w:hAnsi="Times New Roman" w:cs="Times New Roman"/>
          <w:color w:val="0F7FC4"/>
          <w:sz w:val="24"/>
          <w:szCs w:val="24"/>
        </w:rPr>
        <w:t xml:space="preserve"> </w:t>
      </w:r>
      <w:r>
        <w:rPr>
          <w:rFonts w:ascii="Times New Roman" w:hAnsi="Times New Roman" w:cs="Times New Roman"/>
        </w:rPr>
        <w:t>3.1 Overview</w:t>
      </w:r>
    </w:p>
    <w:p w:rsidR="002A7081" w:rsidRPr="00244B68" w:rsidRDefault="000A24F2">
      <w:pPr>
        <w:spacing w:after="130" w:line="276" w:lineRule="auto"/>
        <w:jc w:val="both"/>
        <w:rPr>
          <w:rFonts w:ascii="Times New Roman" w:hAnsi="Times New Roman" w:cs="Times New Roman"/>
        </w:rPr>
      </w:pPr>
      <w:r>
        <w:rPr>
          <w:rFonts w:ascii="Times New Roman" w:hAnsi="Times New Roman" w:cs="Times New Roman"/>
        </w:rPr>
        <w:t xml:space="preserve">This project delivers an Advanced Threat Incident Analytics and Security Visualization Framework built entirely in Microsoft Power BI. It is based on a publicly available cybersecurity dataset of 40,000 incident records sourced from Kaggle, spanning January 2020 to October 2023 and covering 28 states across India. The raw data captures rich detail for every event </w:t>
      </w:r>
      <w:r w:rsidR="002B0252">
        <w:rPr>
          <w:rFonts w:ascii="Times New Roman" w:hAnsi="Times New Roman" w:cs="Times New Roman"/>
        </w:rPr>
        <w:t>-</w:t>
      </w:r>
      <w:r>
        <w:rPr>
          <w:rFonts w:ascii="Times New Roman" w:hAnsi="Times New Roman" w:cs="Times New Roman"/>
        </w:rPr>
        <w:t xml:space="preserve"> source and destination IP addresses and ports, protocol, packet type and length, traffic type, malware indicators, anomaly scores, attack type and signature, severity level, action taken, device, operating system, browser, network segment and geography.</w:t>
      </w:r>
    </w:p>
    <w:p w:rsidR="002A7081" w:rsidRDefault="000A24F2">
      <w:pPr>
        <w:spacing w:after="130" w:line="276" w:lineRule="auto"/>
        <w:jc w:val="both"/>
        <w:rPr>
          <w:rFonts w:ascii="Times New Roman" w:hAnsi="Times New Roman" w:cs="Times New Roman"/>
        </w:rPr>
      </w:pPr>
      <w:r>
        <w:rPr>
          <w:rFonts w:ascii="Times New Roman" w:hAnsi="Times New Roman" w:cs="Times New Roman"/>
        </w:rPr>
        <w:t xml:space="preserve">The solution transforms this raw log data into seven themed, interconnected dashboards </w:t>
      </w:r>
      <w:r w:rsidR="002B0252">
        <w:rPr>
          <w:rFonts w:ascii="Times New Roman" w:hAnsi="Times New Roman" w:cs="Times New Roman"/>
        </w:rPr>
        <w:t>-</w:t>
      </w:r>
      <w:r>
        <w:rPr>
          <w:rFonts w:ascii="Times New Roman" w:hAnsi="Times New Roman" w:cs="Times New Roman"/>
        </w:rPr>
        <w:t xml:space="preserve"> Cyber Security Attacks Analysis, Threat Detection and Anomaly Analysis, Network Traffic Analysis, User Behavior Analytics, Threat Profile and Severity Breakdown, Security Alert Monitoring, and Attack Trends &amp; Response Effectiveness. Together they provide a 360-degree view of the threat landscape, moving the reader from high-level KPIs down to granular, drill-able detail.</w:t>
      </w:r>
    </w:p>
    <w:p w:rsidR="00B06E68" w:rsidRPr="00244B68" w:rsidRDefault="00B06E68">
      <w:pPr>
        <w:spacing w:after="130" w:line="276" w:lineRule="auto"/>
        <w:jc w:val="both"/>
        <w:rPr>
          <w:rFonts w:ascii="Times New Roman" w:hAnsi="Times New Roman" w:cs="Times New Roman"/>
        </w:rPr>
      </w:pPr>
    </w:p>
    <w:p w:rsidR="002A7081" w:rsidRPr="00244B68" w:rsidRDefault="000A24F2">
      <w:pPr>
        <w:pStyle w:val="Heading2"/>
        <w:spacing w:before="200" w:after="80"/>
        <w:rPr>
          <w:rFonts w:ascii="Times New Roman" w:hAnsi="Times New Roman" w:cs="Times New Roman"/>
        </w:rPr>
      </w:pPr>
      <w:r>
        <w:rPr>
          <w:rFonts w:ascii="Segoe UI Symbol" w:hAnsi="Segoe UI Symbol" w:cs="Segoe UI Symbol"/>
          <w:color w:val="0F7FC4"/>
          <w:sz w:val="24"/>
          <w:szCs w:val="24"/>
        </w:rPr>
        <w:t>▍</w:t>
      </w:r>
      <w:r>
        <w:rPr>
          <w:rFonts w:ascii="Times New Roman" w:hAnsi="Times New Roman" w:cs="Times New Roman"/>
          <w:color w:val="0F7FC4"/>
          <w:sz w:val="24"/>
          <w:szCs w:val="24"/>
        </w:rPr>
        <w:t xml:space="preserve"> </w:t>
      </w:r>
      <w:r>
        <w:rPr>
          <w:rFonts w:ascii="Times New Roman" w:hAnsi="Times New Roman" w:cs="Times New Roman"/>
        </w:rPr>
        <w:t>3.2 Project Approach</w:t>
      </w:r>
    </w:p>
    <w:p w:rsidR="002A7081" w:rsidRPr="00244B68" w:rsidRDefault="000A24F2">
      <w:pPr>
        <w:spacing w:after="130" w:line="276" w:lineRule="auto"/>
        <w:jc w:val="both"/>
        <w:rPr>
          <w:rFonts w:ascii="Times New Roman" w:hAnsi="Times New Roman" w:cs="Times New Roman"/>
        </w:rPr>
      </w:pPr>
      <w:r>
        <w:rPr>
          <w:rFonts w:ascii="Times New Roman" w:hAnsi="Times New Roman" w:cs="Times New Roman"/>
        </w:rPr>
        <w:t>The project was executed through a structured nine-step Power BI workflow. Each step is summarised below and elaborated in Section 5b.</w:t>
      </w:r>
    </w:p>
    <w:p w:rsidR="002A7081" w:rsidRPr="00244B68" w:rsidRDefault="000A24F2">
      <w:pPr>
        <w:pStyle w:val="ListParagraph"/>
        <w:numPr>
          <w:ilvl w:val="0"/>
          <w:numId w:val="2"/>
        </w:numPr>
        <w:spacing w:after="60" w:line="272" w:lineRule="auto"/>
        <w:jc w:val="both"/>
        <w:rPr>
          <w:rFonts w:ascii="Times New Roman" w:hAnsi="Times New Roman" w:cs="Times New Roman"/>
        </w:rPr>
      </w:pPr>
      <w:r>
        <w:rPr>
          <w:rFonts w:ascii="Times New Roman" w:hAnsi="Times New Roman" w:cs="Times New Roman"/>
          <w:b/>
          <w:bCs/>
        </w:rPr>
        <w:t xml:space="preserve">Step 1 </w:t>
      </w:r>
      <w:r w:rsidR="002B0252">
        <w:rPr>
          <w:rFonts w:ascii="Times New Roman" w:hAnsi="Times New Roman" w:cs="Times New Roman"/>
          <w:b/>
          <w:bCs/>
        </w:rPr>
        <w:t>-</w:t>
      </w:r>
      <w:r>
        <w:rPr>
          <w:rFonts w:ascii="Times New Roman" w:hAnsi="Times New Roman" w:cs="Times New Roman"/>
          <w:b/>
          <w:bCs/>
        </w:rPr>
        <w:t xml:space="preserve"> Problem Definition: </w:t>
      </w:r>
      <w:r>
        <w:rPr>
          <w:rFonts w:ascii="Times New Roman" w:hAnsi="Times New Roman" w:cs="Times New Roman"/>
        </w:rPr>
        <w:t>framed the security questions and defined the KPIs and target audience.</w:t>
      </w:r>
    </w:p>
    <w:p w:rsidR="002A7081" w:rsidRPr="00244B68" w:rsidRDefault="000A24F2">
      <w:pPr>
        <w:pStyle w:val="ListParagraph"/>
        <w:numPr>
          <w:ilvl w:val="0"/>
          <w:numId w:val="2"/>
        </w:numPr>
        <w:spacing w:after="60" w:line="272" w:lineRule="auto"/>
        <w:jc w:val="both"/>
        <w:rPr>
          <w:rFonts w:ascii="Times New Roman" w:hAnsi="Times New Roman" w:cs="Times New Roman"/>
        </w:rPr>
      </w:pPr>
      <w:r>
        <w:rPr>
          <w:rFonts w:ascii="Times New Roman" w:hAnsi="Times New Roman" w:cs="Times New Roman"/>
          <w:b/>
          <w:bCs/>
        </w:rPr>
        <w:t xml:space="preserve">Step 2 </w:t>
      </w:r>
      <w:r w:rsidR="002B0252">
        <w:rPr>
          <w:rFonts w:ascii="Times New Roman" w:hAnsi="Times New Roman" w:cs="Times New Roman"/>
          <w:b/>
          <w:bCs/>
        </w:rPr>
        <w:t>-</w:t>
      </w:r>
      <w:r>
        <w:rPr>
          <w:rFonts w:ascii="Times New Roman" w:hAnsi="Times New Roman" w:cs="Times New Roman"/>
          <w:b/>
          <w:bCs/>
        </w:rPr>
        <w:t xml:space="preserve"> Data Collection: </w:t>
      </w:r>
      <w:r>
        <w:rPr>
          <w:rFonts w:ascii="Times New Roman" w:hAnsi="Times New Roman" w:cs="Times New Roman"/>
        </w:rPr>
        <w:t>sourced a 40,000-record cybersecurity dataset from Kaggle.</w:t>
      </w:r>
    </w:p>
    <w:p w:rsidR="002A7081" w:rsidRPr="00244B68" w:rsidRDefault="000A24F2">
      <w:pPr>
        <w:pStyle w:val="ListParagraph"/>
        <w:numPr>
          <w:ilvl w:val="0"/>
          <w:numId w:val="2"/>
        </w:numPr>
        <w:spacing w:after="60" w:line="272" w:lineRule="auto"/>
        <w:jc w:val="both"/>
        <w:rPr>
          <w:rFonts w:ascii="Times New Roman" w:hAnsi="Times New Roman" w:cs="Times New Roman"/>
        </w:rPr>
      </w:pPr>
      <w:r>
        <w:rPr>
          <w:rFonts w:ascii="Times New Roman" w:hAnsi="Times New Roman" w:cs="Times New Roman"/>
          <w:b/>
          <w:bCs/>
        </w:rPr>
        <w:t xml:space="preserve">Step 3 </w:t>
      </w:r>
      <w:r w:rsidR="002B0252">
        <w:rPr>
          <w:rFonts w:ascii="Times New Roman" w:hAnsi="Times New Roman" w:cs="Times New Roman"/>
          <w:b/>
          <w:bCs/>
        </w:rPr>
        <w:t>-</w:t>
      </w:r>
      <w:r>
        <w:rPr>
          <w:rFonts w:ascii="Times New Roman" w:hAnsi="Times New Roman" w:cs="Times New Roman"/>
          <w:b/>
          <w:bCs/>
        </w:rPr>
        <w:t xml:space="preserve"> Data Cleaning &amp; Preprocessing: </w:t>
      </w:r>
      <w:r>
        <w:rPr>
          <w:rFonts w:ascii="Times New Roman" w:hAnsi="Times New Roman" w:cs="Times New Roman"/>
        </w:rPr>
        <w:t>shaped the data in Power Query (types, nulls, date/time split, category standardisation).</w:t>
      </w:r>
    </w:p>
    <w:p w:rsidR="002A7081" w:rsidRPr="00244B68" w:rsidRDefault="000A24F2">
      <w:pPr>
        <w:pStyle w:val="ListParagraph"/>
        <w:numPr>
          <w:ilvl w:val="0"/>
          <w:numId w:val="2"/>
        </w:numPr>
        <w:spacing w:after="60" w:line="272" w:lineRule="auto"/>
        <w:jc w:val="both"/>
        <w:rPr>
          <w:rFonts w:ascii="Times New Roman" w:hAnsi="Times New Roman" w:cs="Times New Roman"/>
        </w:rPr>
      </w:pPr>
      <w:r>
        <w:rPr>
          <w:rFonts w:ascii="Times New Roman" w:hAnsi="Times New Roman" w:cs="Times New Roman"/>
          <w:b/>
          <w:bCs/>
        </w:rPr>
        <w:t xml:space="preserve">Step 4 </w:t>
      </w:r>
      <w:r w:rsidR="002B0252">
        <w:rPr>
          <w:rFonts w:ascii="Times New Roman" w:hAnsi="Times New Roman" w:cs="Times New Roman"/>
          <w:b/>
          <w:bCs/>
        </w:rPr>
        <w:t>-</w:t>
      </w:r>
      <w:r>
        <w:rPr>
          <w:rFonts w:ascii="Times New Roman" w:hAnsi="Times New Roman" w:cs="Times New Roman"/>
          <w:b/>
          <w:bCs/>
        </w:rPr>
        <w:t xml:space="preserve"> Data Modeling: </w:t>
      </w:r>
      <w:r>
        <w:rPr>
          <w:rFonts w:ascii="Times New Roman" w:hAnsi="Times New Roman" w:cs="Times New Roman"/>
        </w:rPr>
        <w:t>built a marked Date table and established relationships.</w:t>
      </w:r>
    </w:p>
    <w:p w:rsidR="002A7081" w:rsidRPr="00244B68" w:rsidRDefault="000A24F2">
      <w:pPr>
        <w:pStyle w:val="ListParagraph"/>
        <w:numPr>
          <w:ilvl w:val="0"/>
          <w:numId w:val="2"/>
        </w:numPr>
        <w:spacing w:after="60" w:line="272" w:lineRule="auto"/>
        <w:jc w:val="both"/>
        <w:rPr>
          <w:rFonts w:ascii="Times New Roman" w:hAnsi="Times New Roman" w:cs="Times New Roman"/>
        </w:rPr>
      </w:pPr>
      <w:r>
        <w:rPr>
          <w:rFonts w:ascii="Times New Roman" w:hAnsi="Times New Roman" w:cs="Times New Roman"/>
          <w:b/>
          <w:bCs/>
        </w:rPr>
        <w:t xml:space="preserve">Step 5 </w:t>
      </w:r>
      <w:r w:rsidR="002B0252">
        <w:rPr>
          <w:rFonts w:ascii="Times New Roman" w:hAnsi="Times New Roman" w:cs="Times New Roman"/>
          <w:b/>
          <w:bCs/>
        </w:rPr>
        <w:t>-</w:t>
      </w:r>
      <w:r>
        <w:rPr>
          <w:rFonts w:ascii="Times New Roman" w:hAnsi="Times New Roman" w:cs="Times New Roman"/>
          <w:b/>
          <w:bCs/>
        </w:rPr>
        <w:t xml:space="preserve"> DAX Measures &amp; Calculated Columns: </w:t>
      </w:r>
      <w:r>
        <w:rPr>
          <w:rFonts w:ascii="Times New Roman" w:hAnsi="Times New Roman" w:cs="Times New Roman"/>
        </w:rPr>
        <w:t>authored KPIs and the Anomaly Score Band logic.</w:t>
      </w:r>
    </w:p>
    <w:p w:rsidR="002A7081" w:rsidRPr="00244B68" w:rsidRDefault="000A24F2">
      <w:pPr>
        <w:pStyle w:val="ListParagraph"/>
        <w:numPr>
          <w:ilvl w:val="0"/>
          <w:numId w:val="2"/>
        </w:numPr>
        <w:spacing w:after="60" w:line="272" w:lineRule="auto"/>
        <w:jc w:val="both"/>
        <w:rPr>
          <w:rFonts w:ascii="Times New Roman" w:hAnsi="Times New Roman" w:cs="Times New Roman"/>
        </w:rPr>
      </w:pPr>
      <w:r>
        <w:rPr>
          <w:rFonts w:ascii="Times New Roman" w:hAnsi="Times New Roman" w:cs="Times New Roman"/>
          <w:b/>
          <w:bCs/>
        </w:rPr>
        <w:t xml:space="preserve">Step 6 </w:t>
      </w:r>
      <w:r w:rsidR="002B0252">
        <w:rPr>
          <w:rFonts w:ascii="Times New Roman" w:hAnsi="Times New Roman" w:cs="Times New Roman"/>
          <w:b/>
          <w:bCs/>
        </w:rPr>
        <w:t>-</w:t>
      </w:r>
      <w:r>
        <w:rPr>
          <w:rFonts w:ascii="Times New Roman" w:hAnsi="Times New Roman" w:cs="Times New Roman"/>
          <w:b/>
          <w:bCs/>
        </w:rPr>
        <w:t xml:space="preserve"> Dashboard Design &amp; Visualization: </w:t>
      </w:r>
      <w:r>
        <w:rPr>
          <w:rFonts w:ascii="Times New Roman" w:hAnsi="Times New Roman" w:cs="Times New Roman"/>
        </w:rPr>
        <w:t>designed seven themed report pages.</w:t>
      </w:r>
    </w:p>
    <w:p w:rsidR="002A7081" w:rsidRPr="00244B68" w:rsidRDefault="000A24F2">
      <w:pPr>
        <w:pStyle w:val="ListParagraph"/>
        <w:numPr>
          <w:ilvl w:val="0"/>
          <w:numId w:val="2"/>
        </w:numPr>
        <w:spacing w:after="60" w:line="272" w:lineRule="auto"/>
        <w:jc w:val="both"/>
        <w:rPr>
          <w:rFonts w:ascii="Times New Roman" w:hAnsi="Times New Roman" w:cs="Times New Roman"/>
        </w:rPr>
      </w:pPr>
      <w:r>
        <w:rPr>
          <w:rFonts w:ascii="Times New Roman" w:hAnsi="Times New Roman" w:cs="Times New Roman"/>
          <w:b/>
          <w:bCs/>
        </w:rPr>
        <w:t xml:space="preserve">Step 7 </w:t>
      </w:r>
      <w:r w:rsidR="002B0252">
        <w:rPr>
          <w:rFonts w:ascii="Times New Roman" w:hAnsi="Times New Roman" w:cs="Times New Roman"/>
          <w:b/>
          <w:bCs/>
        </w:rPr>
        <w:t>-</w:t>
      </w:r>
      <w:r>
        <w:rPr>
          <w:rFonts w:ascii="Times New Roman" w:hAnsi="Times New Roman" w:cs="Times New Roman"/>
          <w:b/>
          <w:bCs/>
        </w:rPr>
        <w:t xml:space="preserve"> Interactivity &amp; Advanced Analytics: </w:t>
      </w:r>
      <w:r>
        <w:rPr>
          <w:rFonts w:ascii="Times New Roman" w:hAnsi="Times New Roman" w:cs="Times New Roman"/>
        </w:rPr>
        <w:t>added slicers, cross-filtering, decomposition tree and drill-through.</w:t>
      </w:r>
    </w:p>
    <w:p w:rsidR="002A7081" w:rsidRPr="00244B68" w:rsidRDefault="000A24F2">
      <w:pPr>
        <w:pStyle w:val="ListParagraph"/>
        <w:numPr>
          <w:ilvl w:val="0"/>
          <w:numId w:val="2"/>
        </w:numPr>
        <w:spacing w:after="60" w:line="272" w:lineRule="auto"/>
        <w:jc w:val="both"/>
        <w:rPr>
          <w:rFonts w:ascii="Times New Roman" w:hAnsi="Times New Roman" w:cs="Times New Roman"/>
        </w:rPr>
      </w:pPr>
      <w:r>
        <w:rPr>
          <w:rFonts w:ascii="Times New Roman" w:hAnsi="Times New Roman" w:cs="Times New Roman"/>
          <w:b/>
          <w:bCs/>
        </w:rPr>
        <w:t xml:space="preserve">Step 8 </w:t>
      </w:r>
      <w:r w:rsidR="002B0252">
        <w:rPr>
          <w:rFonts w:ascii="Times New Roman" w:hAnsi="Times New Roman" w:cs="Times New Roman"/>
          <w:b/>
          <w:bCs/>
        </w:rPr>
        <w:t>-</w:t>
      </w:r>
      <w:r>
        <w:rPr>
          <w:rFonts w:ascii="Times New Roman" w:hAnsi="Times New Roman" w:cs="Times New Roman"/>
          <w:b/>
          <w:bCs/>
        </w:rPr>
        <w:t xml:space="preserve"> Insight Generation &amp; Interpretation: </w:t>
      </w:r>
      <w:r>
        <w:rPr>
          <w:rFonts w:ascii="Times New Roman" w:hAnsi="Times New Roman" w:cs="Times New Roman"/>
        </w:rPr>
        <w:t>derived and validated the findings.</w:t>
      </w:r>
    </w:p>
    <w:p w:rsidR="00132765" w:rsidRPr="0047794D" w:rsidRDefault="000A24F2" w:rsidP="000F43ED">
      <w:pPr>
        <w:pStyle w:val="ListParagraph"/>
        <w:numPr>
          <w:ilvl w:val="0"/>
          <w:numId w:val="2"/>
        </w:numPr>
        <w:spacing w:after="60" w:line="272" w:lineRule="auto"/>
        <w:jc w:val="both"/>
        <w:rPr>
          <w:rFonts w:ascii="Times New Roman" w:hAnsi="Times New Roman" w:cs="Times New Roman"/>
        </w:rPr>
      </w:pPr>
      <w:r>
        <w:rPr>
          <w:rFonts w:ascii="Times New Roman" w:hAnsi="Times New Roman" w:cs="Times New Roman"/>
          <w:b/>
          <w:bCs/>
        </w:rPr>
        <w:t xml:space="preserve">Step 9 </w:t>
      </w:r>
      <w:r w:rsidR="002B0252">
        <w:rPr>
          <w:rFonts w:ascii="Times New Roman" w:hAnsi="Times New Roman" w:cs="Times New Roman"/>
          <w:b/>
          <w:bCs/>
        </w:rPr>
        <w:t>-</w:t>
      </w:r>
      <w:r>
        <w:rPr>
          <w:rFonts w:ascii="Times New Roman" w:hAnsi="Times New Roman" w:cs="Times New Roman"/>
          <w:b/>
          <w:bCs/>
        </w:rPr>
        <w:t xml:space="preserve"> Reporting, Documentation &amp; Publishing: </w:t>
      </w:r>
      <w:r>
        <w:rPr>
          <w:rFonts w:ascii="Times New Roman" w:hAnsi="Times New Roman" w:cs="Times New Roman"/>
        </w:rPr>
        <w:t>produced the report, PPT, GitHub repository and mentor reviews.</w:t>
      </w:r>
    </w:p>
    <w:p w:rsidR="00132765" w:rsidRPr="00244B68" w:rsidRDefault="00132765" w:rsidP="000F43ED">
      <w:pPr>
        <w:spacing w:after="60" w:line="272" w:lineRule="auto"/>
        <w:jc w:val="both"/>
        <w:rPr>
          <w:rFonts w:ascii="Times New Roman" w:hAnsi="Times New Roman" w:cs="Times New Roman"/>
        </w:rPr>
      </w:pPr>
    </w:p>
    <w:p w:rsidR="00EC5B23" w:rsidRDefault="00EC5B23">
      <w:pPr>
        <w:pStyle w:val="Heading2"/>
        <w:spacing w:before="200" w:after="80"/>
        <w:rPr>
          <w:rFonts w:ascii="Segoe UI Symbol" w:hAnsi="Segoe UI Symbol" w:cs="Segoe UI Symbol"/>
          <w:color w:val="0F7FC4"/>
          <w:sz w:val="24"/>
          <w:szCs w:val="24"/>
        </w:rPr>
      </w:pPr>
    </w:p>
    <w:p w:rsidR="002A7081" w:rsidRPr="00244B68" w:rsidRDefault="000A24F2">
      <w:pPr>
        <w:pStyle w:val="Heading2"/>
        <w:spacing w:before="200" w:after="80"/>
        <w:rPr>
          <w:rFonts w:ascii="Times New Roman" w:hAnsi="Times New Roman" w:cs="Times New Roman"/>
        </w:rPr>
      </w:pPr>
      <w:r>
        <w:rPr>
          <w:rFonts w:ascii="Segoe UI Symbol" w:hAnsi="Segoe UI Symbol" w:cs="Segoe UI Symbol"/>
          <w:color w:val="0F7FC4"/>
          <w:sz w:val="24"/>
          <w:szCs w:val="24"/>
        </w:rPr>
        <w:lastRenderedPageBreak/>
        <w:t>▍</w:t>
      </w:r>
      <w:r>
        <w:rPr>
          <w:rFonts w:ascii="Times New Roman" w:hAnsi="Times New Roman" w:cs="Times New Roman"/>
          <w:color w:val="0F7FC4"/>
          <w:sz w:val="24"/>
          <w:szCs w:val="24"/>
        </w:rPr>
        <w:t xml:space="preserve"> </w:t>
      </w:r>
      <w:r>
        <w:rPr>
          <w:rFonts w:ascii="Times New Roman" w:hAnsi="Times New Roman" w:cs="Times New Roman"/>
        </w:rPr>
        <w:t>3.3 Technology Used</w:t>
      </w:r>
    </w:p>
    <w:p w:rsidR="002A7081" w:rsidRPr="00244B68" w:rsidRDefault="000A24F2">
      <w:pPr>
        <w:spacing w:after="130" w:line="276" w:lineRule="auto"/>
        <w:jc w:val="both"/>
        <w:rPr>
          <w:rFonts w:ascii="Times New Roman" w:hAnsi="Times New Roman" w:cs="Times New Roman"/>
        </w:rPr>
      </w:pPr>
      <w:r>
        <w:rPr>
          <w:rFonts w:ascii="Times New Roman" w:hAnsi="Times New Roman" w:cs="Times New Roman"/>
        </w:rPr>
        <w:t>The following tools and technologies were used across the internship:</w:t>
      </w:r>
    </w:p>
    <w:p w:rsidR="002A7081" w:rsidRPr="00244B68" w:rsidRDefault="000A24F2">
      <w:pPr>
        <w:pStyle w:val="ListParagraph"/>
        <w:numPr>
          <w:ilvl w:val="0"/>
          <w:numId w:val="2"/>
        </w:numPr>
        <w:spacing w:after="60" w:line="272" w:lineRule="auto"/>
        <w:jc w:val="both"/>
        <w:rPr>
          <w:rFonts w:ascii="Times New Roman" w:hAnsi="Times New Roman" w:cs="Times New Roman"/>
        </w:rPr>
      </w:pPr>
      <w:r>
        <w:rPr>
          <w:rFonts w:ascii="Times New Roman" w:hAnsi="Times New Roman" w:cs="Times New Roman"/>
          <w:b/>
          <w:bCs/>
        </w:rPr>
        <w:t>Microsoft Power BI Desktop</w:t>
      </w:r>
      <w:r>
        <w:rPr>
          <w:rFonts w:ascii="Times New Roman" w:hAnsi="Times New Roman" w:cs="Times New Roman"/>
        </w:rPr>
        <w:t xml:space="preserve"> </w:t>
      </w:r>
      <w:r w:rsidR="002B0252">
        <w:rPr>
          <w:rFonts w:ascii="Times New Roman" w:hAnsi="Times New Roman" w:cs="Times New Roman"/>
        </w:rPr>
        <w:t>-</w:t>
      </w:r>
      <w:r>
        <w:rPr>
          <w:rFonts w:ascii="Times New Roman" w:hAnsi="Times New Roman" w:cs="Times New Roman"/>
        </w:rPr>
        <w:t xml:space="preserve"> primary tool for data modeling, DAX and building all seven interactive dashboards.</w:t>
      </w:r>
    </w:p>
    <w:p w:rsidR="002A7081" w:rsidRPr="00244B68" w:rsidRDefault="000A24F2">
      <w:pPr>
        <w:pStyle w:val="ListParagraph"/>
        <w:numPr>
          <w:ilvl w:val="0"/>
          <w:numId w:val="2"/>
        </w:numPr>
        <w:spacing w:after="60" w:line="272" w:lineRule="auto"/>
        <w:jc w:val="both"/>
        <w:rPr>
          <w:rFonts w:ascii="Times New Roman" w:hAnsi="Times New Roman" w:cs="Times New Roman"/>
        </w:rPr>
      </w:pPr>
      <w:r>
        <w:rPr>
          <w:rFonts w:ascii="Times New Roman" w:hAnsi="Times New Roman" w:cs="Times New Roman"/>
          <w:b/>
          <w:bCs/>
        </w:rPr>
        <w:t>Power Query Editor</w:t>
      </w:r>
      <w:r>
        <w:rPr>
          <w:rFonts w:ascii="Times New Roman" w:hAnsi="Times New Roman" w:cs="Times New Roman"/>
        </w:rPr>
        <w:t xml:space="preserve"> </w:t>
      </w:r>
      <w:r w:rsidR="002B0252">
        <w:rPr>
          <w:rFonts w:ascii="Times New Roman" w:hAnsi="Times New Roman" w:cs="Times New Roman"/>
        </w:rPr>
        <w:t>-</w:t>
      </w:r>
      <w:r>
        <w:rPr>
          <w:rFonts w:ascii="Times New Roman" w:hAnsi="Times New Roman" w:cs="Times New Roman"/>
        </w:rPr>
        <w:t xml:space="preserve"> data cleaning, transformation and shaping (ETL): type conversion, null handling, date/time splitting and category standardisation.</w:t>
      </w:r>
    </w:p>
    <w:p w:rsidR="002A7081" w:rsidRPr="00244B68" w:rsidRDefault="000A24F2">
      <w:pPr>
        <w:pStyle w:val="ListParagraph"/>
        <w:numPr>
          <w:ilvl w:val="0"/>
          <w:numId w:val="2"/>
        </w:numPr>
        <w:spacing w:after="60" w:line="272" w:lineRule="auto"/>
        <w:jc w:val="both"/>
        <w:rPr>
          <w:rFonts w:ascii="Times New Roman" w:hAnsi="Times New Roman" w:cs="Times New Roman"/>
        </w:rPr>
      </w:pPr>
      <w:r>
        <w:rPr>
          <w:rFonts w:ascii="Times New Roman" w:hAnsi="Times New Roman" w:cs="Times New Roman"/>
          <w:b/>
          <w:bCs/>
        </w:rPr>
        <w:t>DAX (Data Analysis Expressions)</w:t>
      </w:r>
      <w:r>
        <w:rPr>
          <w:rFonts w:ascii="Times New Roman" w:hAnsi="Times New Roman" w:cs="Times New Roman"/>
        </w:rPr>
        <w:t xml:space="preserve"> </w:t>
      </w:r>
      <w:r w:rsidR="002B0252">
        <w:rPr>
          <w:rFonts w:ascii="Times New Roman" w:hAnsi="Times New Roman" w:cs="Times New Roman"/>
        </w:rPr>
        <w:t>-</w:t>
      </w:r>
      <w:r>
        <w:rPr>
          <w:rFonts w:ascii="Times New Roman" w:hAnsi="Times New Roman" w:cs="Times New Roman"/>
        </w:rPr>
        <w:t xml:space="preserve"> authoring measures and calculated columns such as Attack, High Severity, % High Severity, Malware Detected, Avg Anomaly Score, Block Rate % and Anomaly Score Band.</w:t>
      </w:r>
    </w:p>
    <w:p w:rsidR="002A7081" w:rsidRPr="00244B68" w:rsidRDefault="000A24F2">
      <w:pPr>
        <w:pStyle w:val="ListParagraph"/>
        <w:numPr>
          <w:ilvl w:val="0"/>
          <w:numId w:val="2"/>
        </w:numPr>
        <w:spacing w:after="60" w:line="272" w:lineRule="auto"/>
        <w:jc w:val="both"/>
        <w:rPr>
          <w:rFonts w:ascii="Times New Roman" w:hAnsi="Times New Roman" w:cs="Times New Roman"/>
        </w:rPr>
      </w:pPr>
      <w:r>
        <w:rPr>
          <w:rFonts w:ascii="Times New Roman" w:hAnsi="Times New Roman" w:cs="Times New Roman"/>
          <w:b/>
          <w:bCs/>
        </w:rPr>
        <w:t>Microsoft Teams</w:t>
      </w:r>
      <w:r>
        <w:rPr>
          <w:rFonts w:ascii="Times New Roman" w:hAnsi="Times New Roman" w:cs="Times New Roman"/>
        </w:rPr>
        <w:t xml:space="preserve"> </w:t>
      </w:r>
      <w:r w:rsidR="002B0252">
        <w:rPr>
          <w:rFonts w:ascii="Times New Roman" w:hAnsi="Times New Roman" w:cs="Times New Roman"/>
        </w:rPr>
        <w:t>-</w:t>
      </w:r>
      <w:r>
        <w:rPr>
          <w:rFonts w:ascii="Times New Roman" w:hAnsi="Times New Roman" w:cs="Times New Roman"/>
        </w:rPr>
        <w:t xml:space="preserve"> team collaboration, milestone meetings, screen-sharing and mentor reviews.</w:t>
      </w:r>
    </w:p>
    <w:p w:rsidR="002A7081" w:rsidRPr="00244B68" w:rsidRDefault="000A24F2">
      <w:pPr>
        <w:pStyle w:val="ListParagraph"/>
        <w:numPr>
          <w:ilvl w:val="0"/>
          <w:numId w:val="2"/>
        </w:numPr>
        <w:spacing w:after="60" w:line="272" w:lineRule="auto"/>
        <w:jc w:val="both"/>
        <w:rPr>
          <w:rFonts w:ascii="Times New Roman" w:hAnsi="Times New Roman" w:cs="Times New Roman"/>
        </w:rPr>
      </w:pPr>
      <w:r>
        <w:rPr>
          <w:rFonts w:ascii="Times New Roman" w:hAnsi="Times New Roman" w:cs="Times New Roman"/>
          <w:b/>
          <w:bCs/>
        </w:rPr>
        <w:t>Microsoft PowerPoint</w:t>
      </w:r>
      <w:r>
        <w:rPr>
          <w:rFonts w:ascii="Times New Roman" w:hAnsi="Times New Roman" w:cs="Times New Roman"/>
        </w:rPr>
        <w:t xml:space="preserve"> </w:t>
      </w:r>
      <w:r w:rsidR="002B0252">
        <w:rPr>
          <w:rFonts w:ascii="Times New Roman" w:hAnsi="Times New Roman" w:cs="Times New Roman"/>
        </w:rPr>
        <w:t>-</w:t>
      </w:r>
      <w:r>
        <w:rPr>
          <w:rFonts w:ascii="Times New Roman" w:hAnsi="Times New Roman" w:cs="Times New Roman"/>
        </w:rPr>
        <w:t xml:space="preserve"> milestone presentations and progress walkthroughs.</w:t>
      </w:r>
    </w:p>
    <w:p w:rsidR="002A7081" w:rsidRPr="00244B68" w:rsidRDefault="000A24F2">
      <w:pPr>
        <w:pStyle w:val="ListParagraph"/>
        <w:numPr>
          <w:ilvl w:val="0"/>
          <w:numId w:val="2"/>
        </w:numPr>
        <w:spacing w:after="60" w:line="272" w:lineRule="auto"/>
        <w:jc w:val="both"/>
        <w:rPr>
          <w:rFonts w:ascii="Times New Roman" w:hAnsi="Times New Roman" w:cs="Times New Roman"/>
        </w:rPr>
      </w:pPr>
      <w:r>
        <w:rPr>
          <w:rFonts w:ascii="Times New Roman" w:hAnsi="Times New Roman" w:cs="Times New Roman"/>
          <w:b/>
          <w:bCs/>
        </w:rPr>
        <w:t>Microsoft Word</w:t>
      </w:r>
      <w:r>
        <w:rPr>
          <w:rFonts w:ascii="Times New Roman" w:hAnsi="Times New Roman" w:cs="Times New Roman"/>
        </w:rPr>
        <w:t xml:space="preserve"> </w:t>
      </w:r>
      <w:r w:rsidR="002B0252">
        <w:rPr>
          <w:rFonts w:ascii="Times New Roman" w:hAnsi="Times New Roman" w:cs="Times New Roman"/>
        </w:rPr>
        <w:t>-</w:t>
      </w:r>
      <w:r>
        <w:rPr>
          <w:rFonts w:ascii="Times New Roman" w:hAnsi="Times New Roman" w:cs="Times New Roman"/>
        </w:rPr>
        <w:t xml:space="preserve"> project documentation and this milestone report.</w:t>
      </w:r>
    </w:p>
    <w:p w:rsidR="002A7081" w:rsidRPr="00244B68" w:rsidRDefault="000A24F2">
      <w:pPr>
        <w:pStyle w:val="ListParagraph"/>
        <w:numPr>
          <w:ilvl w:val="0"/>
          <w:numId w:val="2"/>
        </w:numPr>
        <w:spacing w:after="60" w:line="272" w:lineRule="auto"/>
        <w:jc w:val="both"/>
        <w:rPr>
          <w:rFonts w:ascii="Times New Roman" w:hAnsi="Times New Roman" w:cs="Times New Roman"/>
        </w:rPr>
      </w:pPr>
      <w:r>
        <w:rPr>
          <w:rFonts w:ascii="Times New Roman" w:hAnsi="Times New Roman" w:cs="Times New Roman"/>
          <w:b/>
          <w:bCs/>
        </w:rPr>
        <w:t>GitHub</w:t>
      </w:r>
      <w:r>
        <w:rPr>
          <w:rFonts w:ascii="Times New Roman" w:hAnsi="Times New Roman" w:cs="Times New Roman"/>
        </w:rPr>
        <w:t xml:space="preserve"> </w:t>
      </w:r>
      <w:r w:rsidR="002B0252">
        <w:rPr>
          <w:rFonts w:ascii="Times New Roman" w:hAnsi="Times New Roman" w:cs="Times New Roman"/>
        </w:rPr>
        <w:t>-</w:t>
      </w:r>
      <w:r>
        <w:rPr>
          <w:rFonts w:ascii="Times New Roman" w:hAnsi="Times New Roman" w:cs="Times New Roman"/>
        </w:rPr>
        <w:t xml:space="preserve"> version control and a central repository for the .pbix file and supporting artefacts.</w:t>
      </w:r>
    </w:p>
    <w:p w:rsidR="002A7081" w:rsidRPr="00244B68" w:rsidRDefault="000A24F2">
      <w:pPr>
        <w:pStyle w:val="ListParagraph"/>
        <w:numPr>
          <w:ilvl w:val="0"/>
          <w:numId w:val="2"/>
        </w:numPr>
        <w:spacing w:after="60" w:line="272" w:lineRule="auto"/>
        <w:jc w:val="both"/>
        <w:rPr>
          <w:rFonts w:ascii="Times New Roman" w:hAnsi="Times New Roman" w:cs="Times New Roman"/>
        </w:rPr>
      </w:pPr>
      <w:r>
        <w:rPr>
          <w:rFonts w:ascii="Times New Roman" w:hAnsi="Times New Roman" w:cs="Times New Roman"/>
          <w:b/>
          <w:bCs/>
        </w:rPr>
        <w:t>Power BI Service (publishing)</w:t>
      </w:r>
      <w:r>
        <w:rPr>
          <w:rFonts w:ascii="Times New Roman" w:hAnsi="Times New Roman" w:cs="Times New Roman"/>
        </w:rPr>
        <w:t xml:space="preserve"> </w:t>
      </w:r>
      <w:r w:rsidR="002B0252">
        <w:rPr>
          <w:rFonts w:ascii="Times New Roman" w:hAnsi="Times New Roman" w:cs="Times New Roman"/>
        </w:rPr>
        <w:t>-</w:t>
      </w:r>
      <w:r>
        <w:rPr>
          <w:rFonts w:ascii="Times New Roman" w:hAnsi="Times New Roman" w:cs="Times New Roman"/>
        </w:rPr>
        <w:t xml:space="preserve"> sharing dashboards for review and stakeholder access.</w:t>
      </w:r>
    </w:p>
    <w:p w:rsidR="002A7081" w:rsidRPr="00244B68" w:rsidRDefault="000A24F2">
      <w:pPr>
        <w:pStyle w:val="Heading2"/>
        <w:spacing w:before="200" w:after="80"/>
        <w:rPr>
          <w:rFonts w:ascii="Times New Roman" w:hAnsi="Times New Roman" w:cs="Times New Roman"/>
        </w:rPr>
      </w:pPr>
      <w:r>
        <w:rPr>
          <w:rFonts w:ascii="Segoe UI Symbol" w:hAnsi="Segoe UI Symbol" w:cs="Segoe UI Symbol"/>
          <w:color w:val="0F7FC4"/>
          <w:sz w:val="24"/>
          <w:szCs w:val="24"/>
        </w:rPr>
        <w:t>▍</w:t>
      </w:r>
      <w:r>
        <w:rPr>
          <w:rFonts w:ascii="Times New Roman" w:hAnsi="Times New Roman" w:cs="Times New Roman"/>
          <w:color w:val="0F7FC4"/>
          <w:sz w:val="24"/>
          <w:szCs w:val="24"/>
        </w:rPr>
        <w:t xml:space="preserve"> </w:t>
      </w:r>
      <w:r>
        <w:rPr>
          <w:rFonts w:ascii="Times New Roman" w:hAnsi="Times New Roman" w:cs="Times New Roman"/>
        </w:rPr>
        <w:t>3.4 Insights from the Dashboard</w:t>
      </w:r>
    </w:p>
    <w:p w:rsidR="002A7081" w:rsidRPr="00244B68" w:rsidRDefault="000A24F2">
      <w:pPr>
        <w:spacing w:after="130" w:line="276" w:lineRule="auto"/>
        <w:jc w:val="both"/>
        <w:rPr>
          <w:rFonts w:ascii="Times New Roman" w:hAnsi="Times New Roman" w:cs="Times New Roman"/>
        </w:rPr>
      </w:pPr>
      <w:r>
        <w:rPr>
          <w:rFonts w:ascii="Times New Roman" w:hAnsi="Times New Roman" w:cs="Times New Roman"/>
        </w:rPr>
        <w:t>Analysing the 40,000-record dataset across the seven dashboards surfaced the following key findings:</w:t>
      </w:r>
    </w:p>
    <w:tbl>
      <w:tblPr>
        <w:tblW w:w="935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337"/>
        <w:gridCol w:w="2337"/>
        <w:gridCol w:w="2338"/>
        <w:gridCol w:w="2338"/>
      </w:tblGrid>
      <w:tr w:rsidR="002A7081" w:rsidRPr="00244B68">
        <w:tc>
          <w:tcPr>
            <w:tcW w:w="2337" w:type="dxa"/>
            <w:tcBorders>
              <w:top w:val="single" w:sz="4" w:space="0" w:color="0F7FC4"/>
              <w:left w:val="single" w:sz="4" w:space="0" w:color="0F7FC4"/>
              <w:bottom w:val="single" w:sz="4" w:space="0" w:color="0F7FC4"/>
              <w:right w:val="single" w:sz="4" w:space="0" w:color="0F7FC4"/>
            </w:tcBorders>
            <w:shd w:val="clear" w:color="auto" w:fill="F4F9FD"/>
            <w:tcMar>
              <w:top w:w="90" w:type="dxa"/>
              <w:left w:w="80" w:type="dxa"/>
              <w:bottom w:w="90" w:type="dxa"/>
              <w:right w:w="80" w:type="dxa"/>
            </w:tcMar>
            <w:vAlign w:val="center"/>
          </w:tcPr>
          <w:p w:rsidR="002A7081" w:rsidRPr="00244B68" w:rsidRDefault="000A24F2">
            <w:pPr>
              <w:spacing w:after="20"/>
              <w:jc w:val="center"/>
              <w:rPr>
                <w:rFonts w:ascii="Times New Roman" w:hAnsi="Times New Roman" w:cs="Times New Roman"/>
              </w:rPr>
            </w:pPr>
            <w:r>
              <w:rPr>
                <w:rFonts w:ascii="Times New Roman" w:hAnsi="Times New Roman" w:cs="Times New Roman"/>
                <w:b/>
                <w:bCs/>
                <w:color w:val="0F7FC4"/>
                <w:sz w:val="32"/>
                <w:szCs w:val="32"/>
              </w:rPr>
              <w:t>40,000</w:t>
            </w:r>
          </w:p>
          <w:p w:rsidR="002A7081" w:rsidRPr="00244B68" w:rsidRDefault="000A24F2">
            <w:pPr>
              <w:jc w:val="center"/>
              <w:rPr>
                <w:rFonts w:ascii="Times New Roman" w:hAnsi="Times New Roman" w:cs="Times New Roman"/>
              </w:rPr>
            </w:pPr>
            <w:r>
              <w:rPr>
                <w:rFonts w:ascii="Times New Roman" w:hAnsi="Times New Roman" w:cs="Times New Roman"/>
                <w:color w:val="5B6B7B"/>
                <w:sz w:val="16"/>
                <w:szCs w:val="16"/>
              </w:rPr>
              <w:t>Total Attacks</w:t>
            </w:r>
          </w:p>
        </w:tc>
        <w:tc>
          <w:tcPr>
            <w:tcW w:w="2337" w:type="dxa"/>
            <w:tcBorders>
              <w:top w:val="single" w:sz="4" w:space="0" w:color="C0392B"/>
              <w:left w:val="single" w:sz="4" w:space="0" w:color="C0392B"/>
              <w:bottom w:val="single" w:sz="4" w:space="0" w:color="C0392B"/>
              <w:right w:val="single" w:sz="4" w:space="0" w:color="C0392B"/>
            </w:tcBorders>
            <w:shd w:val="clear" w:color="auto" w:fill="F4F9FD"/>
            <w:tcMar>
              <w:top w:w="90" w:type="dxa"/>
              <w:left w:w="80" w:type="dxa"/>
              <w:bottom w:w="90" w:type="dxa"/>
              <w:right w:w="80" w:type="dxa"/>
            </w:tcMar>
            <w:vAlign w:val="center"/>
          </w:tcPr>
          <w:p w:rsidR="002A7081" w:rsidRPr="00244B68" w:rsidRDefault="000A24F2">
            <w:pPr>
              <w:spacing w:after="20"/>
              <w:jc w:val="center"/>
              <w:rPr>
                <w:rFonts w:ascii="Times New Roman" w:hAnsi="Times New Roman" w:cs="Times New Roman"/>
              </w:rPr>
            </w:pPr>
            <w:r>
              <w:rPr>
                <w:rFonts w:ascii="Times New Roman" w:hAnsi="Times New Roman" w:cs="Times New Roman"/>
                <w:b/>
                <w:bCs/>
                <w:color w:val="C0392B"/>
                <w:sz w:val="32"/>
                <w:szCs w:val="32"/>
              </w:rPr>
              <w:t>33.5%</w:t>
            </w:r>
          </w:p>
          <w:p w:rsidR="002A7081" w:rsidRPr="00244B68" w:rsidRDefault="000A24F2">
            <w:pPr>
              <w:jc w:val="center"/>
              <w:rPr>
                <w:rFonts w:ascii="Times New Roman" w:hAnsi="Times New Roman" w:cs="Times New Roman"/>
              </w:rPr>
            </w:pPr>
            <w:r>
              <w:rPr>
                <w:rFonts w:ascii="Times New Roman" w:hAnsi="Times New Roman" w:cs="Times New Roman"/>
                <w:color w:val="5B6B7B"/>
                <w:sz w:val="16"/>
                <w:szCs w:val="16"/>
              </w:rPr>
              <w:t>High Severity</w:t>
            </w:r>
          </w:p>
        </w:tc>
        <w:tc>
          <w:tcPr>
            <w:tcW w:w="2337" w:type="dxa"/>
            <w:tcBorders>
              <w:top w:val="single" w:sz="4" w:space="0" w:color="1E8449"/>
              <w:left w:val="single" w:sz="4" w:space="0" w:color="1E8449"/>
              <w:bottom w:val="single" w:sz="4" w:space="0" w:color="1E8449"/>
              <w:right w:val="single" w:sz="4" w:space="0" w:color="1E8449"/>
            </w:tcBorders>
            <w:shd w:val="clear" w:color="auto" w:fill="F4F9FD"/>
            <w:tcMar>
              <w:top w:w="90" w:type="dxa"/>
              <w:left w:w="80" w:type="dxa"/>
              <w:bottom w:w="90" w:type="dxa"/>
              <w:right w:w="80" w:type="dxa"/>
            </w:tcMar>
            <w:vAlign w:val="center"/>
          </w:tcPr>
          <w:p w:rsidR="002A7081" w:rsidRPr="00244B68" w:rsidRDefault="000A24F2">
            <w:pPr>
              <w:spacing w:after="20"/>
              <w:jc w:val="center"/>
              <w:rPr>
                <w:rFonts w:ascii="Times New Roman" w:hAnsi="Times New Roman" w:cs="Times New Roman"/>
              </w:rPr>
            </w:pPr>
            <w:r>
              <w:rPr>
                <w:rFonts w:ascii="Times New Roman" w:hAnsi="Times New Roman" w:cs="Times New Roman"/>
                <w:b/>
                <w:bCs/>
                <w:color w:val="1E8449"/>
                <w:sz w:val="32"/>
                <w:szCs w:val="32"/>
              </w:rPr>
              <w:t>33.8%</w:t>
            </w:r>
          </w:p>
          <w:p w:rsidR="002A7081" w:rsidRPr="00244B68" w:rsidRDefault="000A24F2">
            <w:pPr>
              <w:jc w:val="center"/>
              <w:rPr>
                <w:rFonts w:ascii="Times New Roman" w:hAnsi="Times New Roman" w:cs="Times New Roman"/>
              </w:rPr>
            </w:pPr>
            <w:r>
              <w:rPr>
                <w:rFonts w:ascii="Times New Roman" w:hAnsi="Times New Roman" w:cs="Times New Roman"/>
                <w:color w:val="5B6B7B"/>
                <w:sz w:val="16"/>
                <w:szCs w:val="16"/>
              </w:rPr>
              <w:t>Block Rate</w:t>
            </w:r>
          </w:p>
        </w:tc>
        <w:tc>
          <w:tcPr>
            <w:tcW w:w="2337" w:type="dxa"/>
            <w:tcBorders>
              <w:top w:val="single" w:sz="4" w:space="0" w:color="B9770E"/>
              <w:left w:val="single" w:sz="4" w:space="0" w:color="B9770E"/>
              <w:bottom w:val="single" w:sz="4" w:space="0" w:color="B9770E"/>
              <w:right w:val="single" w:sz="4" w:space="0" w:color="B9770E"/>
            </w:tcBorders>
            <w:shd w:val="clear" w:color="auto" w:fill="F4F9FD"/>
            <w:tcMar>
              <w:top w:w="90" w:type="dxa"/>
              <w:left w:w="80" w:type="dxa"/>
              <w:bottom w:w="90" w:type="dxa"/>
              <w:right w:w="80" w:type="dxa"/>
            </w:tcMar>
            <w:vAlign w:val="center"/>
          </w:tcPr>
          <w:p w:rsidR="002A7081" w:rsidRPr="00244B68" w:rsidRDefault="000A24F2">
            <w:pPr>
              <w:spacing w:after="20"/>
              <w:jc w:val="center"/>
              <w:rPr>
                <w:rFonts w:ascii="Times New Roman" w:hAnsi="Times New Roman" w:cs="Times New Roman"/>
              </w:rPr>
            </w:pPr>
            <w:r>
              <w:rPr>
                <w:rFonts w:ascii="Times New Roman" w:hAnsi="Times New Roman" w:cs="Times New Roman"/>
                <w:b/>
                <w:bCs/>
                <w:color w:val="B9770E"/>
                <w:sz w:val="32"/>
                <w:szCs w:val="32"/>
              </w:rPr>
              <w:t>50%</w:t>
            </w:r>
          </w:p>
          <w:p w:rsidR="002A7081" w:rsidRPr="00244B68" w:rsidRDefault="000A24F2">
            <w:pPr>
              <w:jc w:val="center"/>
              <w:rPr>
                <w:rFonts w:ascii="Times New Roman" w:hAnsi="Times New Roman" w:cs="Times New Roman"/>
              </w:rPr>
            </w:pPr>
            <w:r>
              <w:rPr>
                <w:rFonts w:ascii="Times New Roman" w:hAnsi="Times New Roman" w:cs="Times New Roman"/>
                <w:color w:val="5B6B7B"/>
                <w:sz w:val="16"/>
                <w:szCs w:val="16"/>
              </w:rPr>
              <w:t>Malware (IoC)</w:t>
            </w:r>
          </w:p>
        </w:tc>
      </w:tr>
    </w:tbl>
    <w:p w:rsidR="002A7081" w:rsidRPr="00244B68" w:rsidRDefault="002A7081">
      <w:pPr>
        <w:spacing w:after="150"/>
        <w:rPr>
          <w:rFonts w:ascii="Times New Roman" w:hAnsi="Times New Roman" w:cs="Times New Roman"/>
        </w:rPr>
      </w:pPr>
    </w:p>
    <w:p w:rsidR="002A7081" w:rsidRPr="00244B68" w:rsidRDefault="000A24F2">
      <w:pPr>
        <w:pStyle w:val="ListParagraph"/>
        <w:numPr>
          <w:ilvl w:val="0"/>
          <w:numId w:val="2"/>
        </w:numPr>
        <w:spacing w:after="60" w:line="272" w:lineRule="auto"/>
        <w:jc w:val="both"/>
        <w:rPr>
          <w:rFonts w:ascii="Times New Roman" w:hAnsi="Times New Roman" w:cs="Times New Roman"/>
        </w:rPr>
      </w:pPr>
      <w:r>
        <w:rPr>
          <w:rFonts w:ascii="Times New Roman" w:hAnsi="Times New Roman" w:cs="Times New Roman"/>
        </w:rPr>
        <w:t>The dataset spans 40,000 incidents across 2020–2023, with attack volume peaking in 2022 (10,750) and a lower 2023 figure (8,139) reflecting a partial year captured only to October.</w:t>
      </w:r>
    </w:p>
    <w:p w:rsidR="002A7081" w:rsidRPr="00244B68" w:rsidRDefault="000A24F2">
      <w:pPr>
        <w:pStyle w:val="ListParagraph"/>
        <w:numPr>
          <w:ilvl w:val="0"/>
          <w:numId w:val="2"/>
        </w:numPr>
        <w:spacing w:after="60" w:line="272" w:lineRule="auto"/>
        <w:jc w:val="both"/>
        <w:rPr>
          <w:rFonts w:ascii="Times New Roman" w:hAnsi="Times New Roman" w:cs="Times New Roman"/>
        </w:rPr>
      </w:pPr>
      <w:r>
        <w:rPr>
          <w:rFonts w:ascii="Times New Roman" w:hAnsi="Times New Roman" w:cs="Times New Roman"/>
        </w:rPr>
        <w:t xml:space="preserve">Attack types are almost evenly distributed, with DDoS marginally leading (33.6%), followed by Malware (33.3%) and Intrusion (33.2%) </w:t>
      </w:r>
      <w:r w:rsidR="002B0252">
        <w:rPr>
          <w:rFonts w:ascii="Times New Roman" w:hAnsi="Times New Roman" w:cs="Times New Roman"/>
        </w:rPr>
        <w:t>-</w:t>
      </w:r>
      <w:r>
        <w:rPr>
          <w:rFonts w:ascii="Times New Roman" w:hAnsi="Times New Roman" w:cs="Times New Roman"/>
        </w:rPr>
        <w:t xml:space="preserve"> indicating a broad, multi-vector threat environment rather than a single dominant attack.</w:t>
      </w:r>
    </w:p>
    <w:p w:rsidR="002A7081" w:rsidRPr="00244B68" w:rsidRDefault="000A24F2">
      <w:pPr>
        <w:pStyle w:val="ListParagraph"/>
        <w:numPr>
          <w:ilvl w:val="0"/>
          <w:numId w:val="2"/>
        </w:numPr>
        <w:spacing w:after="60" w:line="272" w:lineRule="auto"/>
        <w:jc w:val="both"/>
        <w:rPr>
          <w:rFonts w:ascii="Times New Roman" w:hAnsi="Times New Roman" w:cs="Times New Roman"/>
        </w:rPr>
      </w:pPr>
      <w:r>
        <w:rPr>
          <w:rFonts w:ascii="Times New Roman" w:hAnsi="Times New Roman" w:cs="Times New Roman"/>
        </w:rPr>
        <w:t>Severity is balanced across High (33.5%), Medium (33.6%) and Low (33.0%), meaning roughly one in three incidents is high-severity and warrants priority response.</w:t>
      </w:r>
    </w:p>
    <w:p w:rsidR="002A7081" w:rsidRPr="00244B68" w:rsidRDefault="000A24F2">
      <w:pPr>
        <w:pStyle w:val="ListParagraph"/>
        <w:numPr>
          <w:ilvl w:val="0"/>
          <w:numId w:val="2"/>
        </w:numPr>
        <w:spacing w:after="60" w:line="272" w:lineRule="auto"/>
        <w:jc w:val="both"/>
        <w:rPr>
          <w:rFonts w:ascii="Times New Roman" w:hAnsi="Times New Roman" w:cs="Times New Roman"/>
        </w:rPr>
      </w:pPr>
      <w:r>
        <w:rPr>
          <w:rFonts w:ascii="Times New Roman" w:hAnsi="Times New Roman" w:cs="Times New Roman"/>
        </w:rPr>
        <w:t xml:space="preserve">Only about 33.8% of attacks were actively Blocked, while the remainder were Ignored (33.2%) or merely Logged (33.0%) </w:t>
      </w:r>
      <w:r w:rsidR="002B0252">
        <w:rPr>
          <w:rFonts w:ascii="Times New Roman" w:hAnsi="Times New Roman" w:cs="Times New Roman"/>
        </w:rPr>
        <w:t>-</w:t>
      </w:r>
      <w:r>
        <w:rPr>
          <w:rFonts w:ascii="Times New Roman" w:hAnsi="Times New Roman" w:cs="Times New Roman"/>
        </w:rPr>
        <w:t xml:space="preserve"> a notable response gap and a clear improvement opportunity.</w:t>
      </w:r>
    </w:p>
    <w:p w:rsidR="002A7081" w:rsidRPr="00244B68" w:rsidRDefault="000A24F2">
      <w:pPr>
        <w:pStyle w:val="ListParagraph"/>
        <w:numPr>
          <w:ilvl w:val="0"/>
          <w:numId w:val="2"/>
        </w:numPr>
        <w:spacing w:after="60" w:line="272" w:lineRule="auto"/>
        <w:jc w:val="both"/>
        <w:rPr>
          <w:rFonts w:ascii="Times New Roman" w:hAnsi="Times New Roman" w:cs="Times New Roman"/>
        </w:rPr>
      </w:pPr>
      <w:r>
        <w:rPr>
          <w:rFonts w:ascii="Times New Roman" w:hAnsi="Times New Roman" w:cs="Times New Roman"/>
        </w:rPr>
        <w:t>Windows is by far the most-targeted operating system (~45% of incidents), followed by Linux (17.9%), Mac OS (14.5%), iOS (14.4%) and Android (8.2%).</w:t>
      </w:r>
    </w:p>
    <w:p w:rsidR="002A7081" w:rsidRPr="00244B68" w:rsidRDefault="000A24F2">
      <w:pPr>
        <w:pStyle w:val="ListParagraph"/>
        <w:numPr>
          <w:ilvl w:val="0"/>
          <w:numId w:val="2"/>
        </w:numPr>
        <w:spacing w:after="60" w:line="272" w:lineRule="auto"/>
        <w:jc w:val="both"/>
        <w:rPr>
          <w:rFonts w:ascii="Times New Roman" w:hAnsi="Times New Roman" w:cs="Times New Roman"/>
        </w:rPr>
      </w:pPr>
      <w:r>
        <w:rPr>
          <w:rFonts w:ascii="Times New Roman" w:hAnsi="Times New Roman" w:cs="Times New Roman"/>
        </w:rPr>
        <w:t>Mozilla accounts for roughly 80% of browser-associated activity, with Opera making up the remainder.</w:t>
      </w:r>
    </w:p>
    <w:p w:rsidR="002A7081" w:rsidRPr="00244B68" w:rsidRDefault="000A24F2">
      <w:pPr>
        <w:pStyle w:val="ListParagraph"/>
        <w:numPr>
          <w:ilvl w:val="0"/>
          <w:numId w:val="2"/>
        </w:numPr>
        <w:spacing w:after="60" w:line="272" w:lineRule="auto"/>
        <w:jc w:val="both"/>
        <w:rPr>
          <w:rFonts w:ascii="Times New Roman" w:hAnsi="Times New Roman" w:cs="Times New Roman"/>
        </w:rPr>
      </w:pPr>
      <w:r>
        <w:rPr>
          <w:rFonts w:ascii="Times New Roman" w:hAnsi="Times New Roman" w:cs="Times New Roman"/>
        </w:rPr>
        <w:t xml:space="preserve">The average anomaly score is 50.1 on a 0–100 scale, with incidents spread fairly evenly across all anomaly bands </w:t>
      </w:r>
      <w:r w:rsidR="002B0252">
        <w:rPr>
          <w:rFonts w:ascii="Times New Roman" w:hAnsi="Times New Roman" w:cs="Times New Roman"/>
        </w:rPr>
        <w:t>-</w:t>
      </w:r>
      <w:r>
        <w:rPr>
          <w:rFonts w:ascii="Times New Roman" w:hAnsi="Times New Roman" w:cs="Times New Roman"/>
        </w:rPr>
        <w:t xml:space="preserve"> the 51–75 band is the largest.</w:t>
      </w:r>
    </w:p>
    <w:p w:rsidR="002A7081" w:rsidRPr="00244B68" w:rsidRDefault="000A24F2">
      <w:pPr>
        <w:pStyle w:val="ListParagraph"/>
        <w:numPr>
          <w:ilvl w:val="0"/>
          <w:numId w:val="2"/>
        </w:numPr>
        <w:spacing w:after="60" w:line="272" w:lineRule="auto"/>
        <w:jc w:val="both"/>
        <w:rPr>
          <w:rFonts w:ascii="Times New Roman" w:hAnsi="Times New Roman" w:cs="Times New Roman"/>
        </w:rPr>
      </w:pPr>
      <w:r>
        <w:rPr>
          <w:rFonts w:ascii="Times New Roman" w:hAnsi="Times New Roman" w:cs="Times New Roman"/>
        </w:rPr>
        <w:t>Malware indicators (IoC Detected) are present in exactly half of all records (20,000), underscoring the prevalence of malware-linked activity.</w:t>
      </w:r>
    </w:p>
    <w:p w:rsidR="002A7081" w:rsidRPr="00244B68" w:rsidRDefault="000A24F2">
      <w:pPr>
        <w:pStyle w:val="ListParagraph"/>
        <w:numPr>
          <w:ilvl w:val="0"/>
          <w:numId w:val="2"/>
        </w:numPr>
        <w:spacing w:after="60" w:line="272" w:lineRule="auto"/>
        <w:jc w:val="both"/>
        <w:rPr>
          <w:rFonts w:ascii="Times New Roman" w:hAnsi="Times New Roman" w:cs="Times New Roman"/>
        </w:rPr>
      </w:pPr>
      <w:r>
        <w:rPr>
          <w:rFonts w:ascii="Times New Roman" w:hAnsi="Times New Roman" w:cs="Times New Roman"/>
        </w:rPr>
        <w:t>ICMP is the most common protocol (33.6%), and Control packets slightly outnumber Data packets (50.6% vs 49.4%).</w:t>
      </w:r>
    </w:p>
    <w:p w:rsidR="002A7081" w:rsidRPr="00244B68" w:rsidRDefault="000A24F2">
      <w:pPr>
        <w:pStyle w:val="ListParagraph"/>
        <w:numPr>
          <w:ilvl w:val="0"/>
          <w:numId w:val="2"/>
        </w:numPr>
        <w:spacing w:after="60" w:line="272" w:lineRule="auto"/>
        <w:jc w:val="both"/>
        <w:rPr>
          <w:rFonts w:ascii="Times New Roman" w:hAnsi="Times New Roman" w:cs="Times New Roman"/>
        </w:rPr>
      </w:pPr>
      <w:r>
        <w:rPr>
          <w:rFonts w:ascii="Times New Roman" w:hAnsi="Times New Roman" w:cs="Times New Roman"/>
        </w:rPr>
        <w:t xml:space="preserve">Incidents are widely distributed across 28 states </w:t>
      </w:r>
      <w:r w:rsidR="002B0252">
        <w:rPr>
          <w:rFonts w:ascii="Times New Roman" w:hAnsi="Times New Roman" w:cs="Times New Roman"/>
        </w:rPr>
        <w:t>-</w:t>
      </w:r>
      <w:r>
        <w:rPr>
          <w:rFonts w:ascii="Times New Roman" w:hAnsi="Times New Roman" w:cs="Times New Roman"/>
        </w:rPr>
        <w:t xml:space="preserve"> led by Manipur, Uttar Pradesh, Gujarat, Maharashtra and Arunachal Pradesh </w:t>
      </w:r>
      <w:r w:rsidR="002B0252">
        <w:rPr>
          <w:rFonts w:ascii="Times New Roman" w:hAnsi="Times New Roman" w:cs="Times New Roman"/>
        </w:rPr>
        <w:t>-</w:t>
      </w:r>
      <w:r>
        <w:rPr>
          <w:rFonts w:ascii="Times New Roman" w:hAnsi="Times New Roman" w:cs="Times New Roman"/>
        </w:rPr>
        <w:t xml:space="preserve"> showing a nationwide footprint rather than a few hotspots.</w:t>
      </w:r>
    </w:p>
    <w:p w:rsidR="000F43ED" w:rsidRPr="00244B68" w:rsidRDefault="000F43ED" w:rsidP="000F43ED">
      <w:pPr>
        <w:spacing w:after="60" w:line="272" w:lineRule="auto"/>
        <w:jc w:val="both"/>
        <w:rPr>
          <w:rFonts w:ascii="Times New Roman" w:hAnsi="Times New Roman" w:cs="Times New Roman"/>
        </w:rPr>
      </w:pPr>
    </w:p>
    <w:p w:rsidR="000F43ED" w:rsidRPr="00244B68" w:rsidRDefault="000F43ED" w:rsidP="000F43ED">
      <w:pPr>
        <w:spacing w:after="60" w:line="272" w:lineRule="auto"/>
        <w:jc w:val="both"/>
        <w:rPr>
          <w:rFonts w:ascii="Times New Roman" w:hAnsi="Times New Roman" w:cs="Times New Roman"/>
        </w:rPr>
      </w:pPr>
    </w:p>
    <w:p w:rsidR="000F43ED" w:rsidRPr="00244B68" w:rsidRDefault="000F43ED" w:rsidP="000F43ED">
      <w:pPr>
        <w:spacing w:after="60" w:line="272" w:lineRule="auto"/>
        <w:jc w:val="both"/>
        <w:rPr>
          <w:rFonts w:ascii="Times New Roman" w:hAnsi="Times New Roman" w:cs="Times New Roman"/>
        </w:rPr>
      </w:pPr>
    </w:p>
    <w:p w:rsidR="00EC5B23" w:rsidRDefault="00EC5B23">
      <w:pPr>
        <w:pStyle w:val="Heading2"/>
        <w:spacing w:before="200" w:after="80"/>
        <w:rPr>
          <w:rFonts w:ascii="Segoe UI Symbol" w:hAnsi="Segoe UI Symbol" w:cs="Segoe UI Symbol"/>
          <w:color w:val="0F7FC4"/>
          <w:sz w:val="24"/>
          <w:szCs w:val="24"/>
        </w:rPr>
      </w:pPr>
    </w:p>
    <w:p w:rsidR="002A7081" w:rsidRPr="00244B68" w:rsidRDefault="000A24F2">
      <w:pPr>
        <w:pStyle w:val="Heading2"/>
        <w:spacing w:before="200" w:after="80"/>
        <w:rPr>
          <w:rFonts w:ascii="Times New Roman" w:hAnsi="Times New Roman" w:cs="Times New Roman"/>
        </w:rPr>
      </w:pPr>
      <w:r>
        <w:rPr>
          <w:rFonts w:ascii="Segoe UI Symbol" w:hAnsi="Segoe UI Symbol" w:cs="Segoe UI Symbol"/>
          <w:color w:val="0F7FC4"/>
          <w:sz w:val="24"/>
          <w:szCs w:val="24"/>
        </w:rPr>
        <w:lastRenderedPageBreak/>
        <w:t>▍</w:t>
      </w:r>
      <w:r>
        <w:rPr>
          <w:rFonts w:ascii="Times New Roman" w:hAnsi="Times New Roman" w:cs="Times New Roman"/>
          <w:color w:val="0F7FC4"/>
          <w:sz w:val="24"/>
          <w:szCs w:val="24"/>
        </w:rPr>
        <w:t xml:space="preserve"> </w:t>
      </w:r>
      <w:r>
        <w:rPr>
          <w:rFonts w:ascii="Times New Roman" w:hAnsi="Times New Roman" w:cs="Times New Roman"/>
        </w:rPr>
        <w:t>3.5 Real-World Impact for Media and Public Communication</w:t>
      </w:r>
    </w:p>
    <w:p w:rsidR="002A7081" w:rsidRPr="00244B68" w:rsidRDefault="000A24F2">
      <w:pPr>
        <w:spacing w:after="130" w:line="276" w:lineRule="auto"/>
        <w:jc w:val="both"/>
        <w:rPr>
          <w:rFonts w:ascii="Times New Roman" w:hAnsi="Times New Roman" w:cs="Times New Roman"/>
        </w:rPr>
      </w:pPr>
      <w:r>
        <w:rPr>
          <w:rFonts w:ascii="Times New Roman" w:hAnsi="Times New Roman" w:cs="Times New Roman"/>
        </w:rPr>
        <w:t>Beyond the security operations centre, a framework of this kind has direct value for media and public communication. Cybersecurity data is often technical and intimidating; by distilling 40,000 raw events into clear KPIs, trends and geographic views, the dashboards make the threat landscape understandable to journalists, spokespeople, policymakers and the general public.</w:t>
      </w:r>
    </w:p>
    <w:p w:rsidR="00132765" w:rsidRDefault="000A24F2" w:rsidP="0047794D">
      <w:pPr>
        <w:spacing w:after="130" w:line="276" w:lineRule="auto"/>
        <w:jc w:val="both"/>
        <w:rPr>
          <w:rFonts w:ascii="Times New Roman" w:hAnsi="Times New Roman" w:cs="Times New Roman"/>
        </w:rPr>
      </w:pPr>
      <w:r>
        <w:rPr>
          <w:rFonts w:ascii="Times New Roman" w:hAnsi="Times New Roman" w:cs="Times New Roman"/>
        </w:rPr>
        <w:t xml:space="preserve">For communication teams, the visuals provide accurate, ready-to-use evidence for public advisories, awareness campaigns and executive briefings </w:t>
      </w:r>
      <w:r w:rsidR="002B0252">
        <w:rPr>
          <w:rFonts w:ascii="Times New Roman" w:hAnsi="Times New Roman" w:cs="Times New Roman"/>
        </w:rPr>
        <w:t>-</w:t>
      </w:r>
      <w:r>
        <w:rPr>
          <w:rFonts w:ascii="Times New Roman" w:hAnsi="Times New Roman" w:cs="Times New Roman"/>
        </w:rPr>
        <w:t xml:space="preserve"> for example, highlighting that roughly one in three incidents is high-severity, that malware indicators appear in half of all events, or that only a third of attacks are actively blocked. Presenting such figures visually builds credibility, counters misinformation, and helps citizens and organisations make informed decisions about their own digital safety. The state-level view further supports regionally targeted awareness messaging.</w:t>
      </w:r>
    </w:p>
    <w:p w:rsidR="002A7081" w:rsidRPr="00244B68" w:rsidRDefault="000A24F2">
      <w:pPr>
        <w:pStyle w:val="Heading1"/>
        <w:pBdr>
          <w:bottom w:val="single" w:sz="14" w:space="4" w:color="0F7FC4"/>
        </w:pBdr>
        <w:spacing w:before="300" w:after="130"/>
        <w:rPr>
          <w:rFonts w:ascii="Times New Roman" w:hAnsi="Times New Roman" w:cs="Times New Roman"/>
        </w:rPr>
      </w:pPr>
      <w:r>
        <w:rPr>
          <w:rFonts w:ascii="Times New Roman" w:hAnsi="Times New Roman" w:cs="Times New Roman"/>
        </w:rPr>
        <w:t>4. Timeline Overview</w:t>
      </w:r>
    </w:p>
    <w:p w:rsidR="002A7081" w:rsidRPr="00244B68" w:rsidRDefault="000A24F2">
      <w:pPr>
        <w:spacing w:after="130" w:line="276" w:lineRule="auto"/>
        <w:jc w:val="both"/>
        <w:rPr>
          <w:rFonts w:ascii="Times New Roman" w:hAnsi="Times New Roman" w:cs="Times New Roman"/>
        </w:rPr>
      </w:pPr>
      <w:r>
        <w:rPr>
          <w:rFonts w:ascii="Times New Roman" w:hAnsi="Times New Roman" w:cs="Times New Roman"/>
        </w:rPr>
        <w:t>The eight-week internship progressed as follows, culminating in the Milestone 3 submission.</w:t>
      </w:r>
    </w:p>
    <w:tbl>
      <w:tblPr>
        <w:tblW w:w="9500" w:type="dxa"/>
        <w:tblBorders>
          <w:top w:val="single" w:sz="4" w:space="0" w:color="CBD9E6"/>
          <w:left w:val="single" w:sz="4" w:space="0" w:color="CBD9E6"/>
          <w:bottom w:val="single" w:sz="4" w:space="0" w:color="CBD9E6"/>
          <w:right w:val="single" w:sz="4" w:space="0" w:color="CBD9E6"/>
          <w:insideH w:val="single" w:sz="4" w:space="0" w:color="CBD9E6"/>
          <w:insideV w:val="single" w:sz="4" w:space="0" w:color="CBD9E6"/>
        </w:tblBorders>
        <w:tblCellMar>
          <w:left w:w="10" w:type="dxa"/>
          <w:right w:w="10" w:type="dxa"/>
        </w:tblCellMar>
        <w:tblLook w:val="04A0" w:firstRow="1" w:lastRow="0" w:firstColumn="1" w:lastColumn="0" w:noHBand="0" w:noVBand="1"/>
      </w:tblPr>
      <w:tblGrid>
        <w:gridCol w:w="1100"/>
        <w:gridCol w:w="3900"/>
        <w:gridCol w:w="4500"/>
      </w:tblGrid>
      <w:tr w:rsidR="002A7081" w:rsidRPr="00244B68">
        <w:trPr>
          <w:tblHeader/>
        </w:trPr>
        <w:tc>
          <w:tcPr>
            <w:tcW w:w="1100" w:type="dxa"/>
            <w:tcBorders>
              <w:top w:val="single" w:sz="4" w:space="0" w:color="0A4A7A"/>
              <w:left w:val="single" w:sz="4" w:space="0" w:color="0A4A7A"/>
              <w:bottom w:val="single" w:sz="4" w:space="0" w:color="0A4A7A"/>
              <w:right w:val="single" w:sz="4" w:space="0" w:color="0A4A7A"/>
            </w:tcBorders>
            <w:shd w:val="clear" w:color="auto" w:fill="0A4A7A"/>
            <w:tcMar>
              <w:top w:w="60" w:type="dxa"/>
              <w:left w:w="100" w:type="dxa"/>
              <w:bottom w:w="60" w:type="dxa"/>
              <w:right w:w="100" w:type="dxa"/>
            </w:tcMar>
            <w:vAlign w:val="center"/>
          </w:tcPr>
          <w:p w:rsidR="002A7081" w:rsidRPr="00244B68" w:rsidRDefault="000A24F2">
            <w:pPr>
              <w:rPr>
                <w:rFonts w:ascii="Times New Roman" w:hAnsi="Times New Roman" w:cs="Times New Roman"/>
              </w:rPr>
            </w:pPr>
            <w:r>
              <w:rPr>
                <w:rFonts w:ascii="Times New Roman" w:hAnsi="Times New Roman" w:cs="Times New Roman"/>
                <w:b/>
                <w:bCs/>
                <w:color w:val="FFFFFF"/>
                <w:sz w:val="19"/>
                <w:szCs w:val="19"/>
              </w:rPr>
              <w:t>Week</w:t>
            </w:r>
          </w:p>
        </w:tc>
        <w:tc>
          <w:tcPr>
            <w:tcW w:w="3900" w:type="dxa"/>
            <w:tcBorders>
              <w:top w:val="single" w:sz="4" w:space="0" w:color="0A4A7A"/>
              <w:left w:val="single" w:sz="4" w:space="0" w:color="0A4A7A"/>
              <w:bottom w:val="single" w:sz="4" w:space="0" w:color="0A4A7A"/>
              <w:right w:val="single" w:sz="4" w:space="0" w:color="0A4A7A"/>
            </w:tcBorders>
            <w:shd w:val="clear" w:color="auto" w:fill="0A4A7A"/>
            <w:tcMar>
              <w:top w:w="60" w:type="dxa"/>
              <w:left w:w="100" w:type="dxa"/>
              <w:bottom w:w="60" w:type="dxa"/>
              <w:right w:w="100" w:type="dxa"/>
            </w:tcMar>
            <w:vAlign w:val="center"/>
          </w:tcPr>
          <w:p w:rsidR="002A7081" w:rsidRPr="00244B68" w:rsidRDefault="000A24F2">
            <w:pPr>
              <w:rPr>
                <w:rFonts w:ascii="Times New Roman" w:hAnsi="Times New Roman" w:cs="Times New Roman"/>
              </w:rPr>
            </w:pPr>
            <w:r>
              <w:rPr>
                <w:rFonts w:ascii="Times New Roman" w:hAnsi="Times New Roman" w:cs="Times New Roman"/>
                <w:b/>
                <w:bCs/>
                <w:color w:val="FFFFFF"/>
                <w:sz w:val="19"/>
                <w:szCs w:val="19"/>
              </w:rPr>
              <w:t>Activities Planned</w:t>
            </w:r>
          </w:p>
        </w:tc>
        <w:tc>
          <w:tcPr>
            <w:tcW w:w="4500" w:type="dxa"/>
            <w:tcBorders>
              <w:top w:val="single" w:sz="4" w:space="0" w:color="0A4A7A"/>
              <w:left w:val="single" w:sz="4" w:space="0" w:color="0A4A7A"/>
              <w:bottom w:val="single" w:sz="4" w:space="0" w:color="0A4A7A"/>
              <w:right w:val="single" w:sz="4" w:space="0" w:color="0A4A7A"/>
            </w:tcBorders>
            <w:shd w:val="clear" w:color="auto" w:fill="0A4A7A"/>
            <w:tcMar>
              <w:top w:w="60" w:type="dxa"/>
              <w:left w:w="100" w:type="dxa"/>
              <w:bottom w:w="60" w:type="dxa"/>
              <w:right w:w="100" w:type="dxa"/>
            </w:tcMar>
            <w:vAlign w:val="center"/>
          </w:tcPr>
          <w:p w:rsidR="002A7081" w:rsidRPr="00244B68" w:rsidRDefault="000A24F2">
            <w:pPr>
              <w:rPr>
                <w:rFonts w:ascii="Times New Roman" w:hAnsi="Times New Roman" w:cs="Times New Roman"/>
              </w:rPr>
            </w:pPr>
            <w:r>
              <w:rPr>
                <w:rFonts w:ascii="Times New Roman" w:hAnsi="Times New Roman" w:cs="Times New Roman"/>
                <w:b/>
                <w:bCs/>
                <w:color w:val="FFFFFF"/>
                <w:sz w:val="19"/>
                <w:szCs w:val="19"/>
              </w:rPr>
              <w:t>Activities Completed</w:t>
            </w:r>
          </w:p>
        </w:tc>
      </w:tr>
      <w:tr w:rsidR="002A7081" w:rsidRPr="00244B68">
        <w:tc>
          <w:tcPr>
            <w:tcW w:w="1100" w:type="dxa"/>
            <w:tcBorders>
              <w:top w:val="single" w:sz="4" w:space="0" w:color="CBD9E6"/>
              <w:left w:val="single" w:sz="4" w:space="0" w:color="CBD9E6"/>
              <w:bottom w:val="single" w:sz="4" w:space="0" w:color="CBD9E6"/>
              <w:right w:val="single" w:sz="4" w:space="0" w:color="CBD9E6"/>
            </w:tcBorders>
            <w:shd w:val="clear" w:color="auto" w:fill="FFFFFF"/>
            <w:tcMar>
              <w:top w:w="50" w:type="dxa"/>
              <w:left w:w="100" w:type="dxa"/>
              <w:bottom w:w="50" w:type="dxa"/>
              <w:right w:w="100" w:type="dxa"/>
            </w:tcMar>
            <w:vAlign w:val="center"/>
          </w:tcPr>
          <w:p w:rsidR="002A7081" w:rsidRPr="00244B68" w:rsidRDefault="000A24F2">
            <w:pPr>
              <w:rPr>
                <w:rFonts w:ascii="Times New Roman" w:hAnsi="Times New Roman" w:cs="Times New Roman"/>
              </w:rPr>
            </w:pPr>
            <w:r>
              <w:rPr>
                <w:rFonts w:ascii="Times New Roman" w:hAnsi="Times New Roman" w:cs="Times New Roman"/>
                <w:sz w:val="19"/>
                <w:szCs w:val="19"/>
              </w:rPr>
              <w:t>Week 1</w:t>
            </w:r>
          </w:p>
        </w:tc>
        <w:tc>
          <w:tcPr>
            <w:tcW w:w="3900" w:type="dxa"/>
            <w:tcBorders>
              <w:top w:val="single" w:sz="4" w:space="0" w:color="CBD9E6"/>
              <w:left w:val="single" w:sz="4" w:space="0" w:color="CBD9E6"/>
              <w:bottom w:val="single" w:sz="4" w:space="0" w:color="CBD9E6"/>
              <w:right w:val="single" w:sz="4" w:space="0" w:color="CBD9E6"/>
            </w:tcBorders>
            <w:shd w:val="clear" w:color="auto" w:fill="FFFFFF"/>
            <w:tcMar>
              <w:top w:w="50" w:type="dxa"/>
              <w:left w:w="100" w:type="dxa"/>
              <w:bottom w:w="50" w:type="dxa"/>
              <w:right w:w="100" w:type="dxa"/>
            </w:tcMar>
            <w:vAlign w:val="center"/>
          </w:tcPr>
          <w:p w:rsidR="002A7081" w:rsidRPr="00244B68" w:rsidRDefault="003A44FC">
            <w:pPr>
              <w:rPr>
                <w:rFonts w:ascii="Times New Roman" w:hAnsi="Times New Roman" w:cs="Times New Roman"/>
              </w:rPr>
            </w:pPr>
            <w:r>
              <w:rPr>
                <w:rFonts w:ascii="Times New Roman" w:hAnsi="Times New Roman" w:cs="Times New Roman"/>
                <w:sz w:val="19"/>
                <w:szCs w:val="19"/>
              </w:rPr>
              <w:t>On boarding</w:t>
            </w:r>
            <w:r w:rsidR="000A24F2">
              <w:rPr>
                <w:rFonts w:ascii="Times New Roman" w:hAnsi="Times New Roman" w:cs="Times New Roman"/>
                <w:sz w:val="19"/>
                <w:szCs w:val="19"/>
              </w:rPr>
              <w:t>, problem understanding, dataset exploration</w:t>
            </w:r>
          </w:p>
        </w:tc>
        <w:tc>
          <w:tcPr>
            <w:tcW w:w="4500" w:type="dxa"/>
            <w:tcBorders>
              <w:top w:val="single" w:sz="4" w:space="0" w:color="CBD9E6"/>
              <w:left w:val="single" w:sz="4" w:space="0" w:color="CBD9E6"/>
              <w:bottom w:val="single" w:sz="4" w:space="0" w:color="CBD9E6"/>
              <w:right w:val="single" w:sz="4" w:space="0" w:color="CBD9E6"/>
            </w:tcBorders>
            <w:shd w:val="clear" w:color="auto" w:fill="FFFFFF"/>
            <w:tcMar>
              <w:top w:w="50" w:type="dxa"/>
              <w:left w:w="100" w:type="dxa"/>
              <w:bottom w:w="50" w:type="dxa"/>
              <w:right w:w="100" w:type="dxa"/>
            </w:tcMar>
            <w:vAlign w:val="center"/>
          </w:tcPr>
          <w:p w:rsidR="002A7081" w:rsidRPr="00244B68" w:rsidRDefault="003A44FC">
            <w:pPr>
              <w:rPr>
                <w:rFonts w:ascii="Times New Roman" w:hAnsi="Times New Roman" w:cs="Times New Roman"/>
              </w:rPr>
            </w:pPr>
            <w:r>
              <w:rPr>
                <w:rFonts w:ascii="Times New Roman" w:hAnsi="Times New Roman" w:cs="Times New Roman"/>
                <w:sz w:val="19"/>
                <w:szCs w:val="19"/>
              </w:rPr>
              <w:t>Kick off</w:t>
            </w:r>
            <w:r w:rsidR="000A24F2">
              <w:rPr>
                <w:rFonts w:ascii="Times New Roman" w:hAnsi="Times New Roman" w:cs="Times New Roman"/>
                <w:sz w:val="19"/>
                <w:szCs w:val="19"/>
              </w:rPr>
              <w:t xml:space="preserve"> call; requirements defined; Kaggle dataset (40,000 records) finalised</w:t>
            </w:r>
          </w:p>
        </w:tc>
      </w:tr>
      <w:tr w:rsidR="002A7081" w:rsidRPr="00244B68">
        <w:tc>
          <w:tcPr>
            <w:tcW w:w="1100" w:type="dxa"/>
            <w:tcBorders>
              <w:top w:val="single" w:sz="4" w:space="0" w:color="CBD9E6"/>
              <w:left w:val="single" w:sz="4" w:space="0" w:color="CBD9E6"/>
              <w:bottom w:val="single" w:sz="4" w:space="0" w:color="CBD9E6"/>
              <w:right w:val="single" w:sz="4" w:space="0" w:color="CBD9E6"/>
            </w:tcBorders>
            <w:shd w:val="clear" w:color="auto" w:fill="F4F9FD"/>
            <w:tcMar>
              <w:top w:w="50" w:type="dxa"/>
              <w:left w:w="100" w:type="dxa"/>
              <w:bottom w:w="50" w:type="dxa"/>
              <w:right w:w="100" w:type="dxa"/>
            </w:tcMar>
            <w:vAlign w:val="center"/>
          </w:tcPr>
          <w:p w:rsidR="002A7081" w:rsidRPr="00244B68" w:rsidRDefault="000A24F2">
            <w:pPr>
              <w:rPr>
                <w:rFonts w:ascii="Times New Roman" w:hAnsi="Times New Roman" w:cs="Times New Roman"/>
              </w:rPr>
            </w:pPr>
            <w:r>
              <w:rPr>
                <w:rFonts w:ascii="Times New Roman" w:hAnsi="Times New Roman" w:cs="Times New Roman"/>
                <w:sz w:val="19"/>
                <w:szCs w:val="19"/>
              </w:rPr>
              <w:t>Week 2</w:t>
            </w:r>
          </w:p>
        </w:tc>
        <w:tc>
          <w:tcPr>
            <w:tcW w:w="3900" w:type="dxa"/>
            <w:tcBorders>
              <w:top w:val="single" w:sz="4" w:space="0" w:color="CBD9E6"/>
              <w:left w:val="single" w:sz="4" w:space="0" w:color="CBD9E6"/>
              <w:bottom w:val="single" w:sz="4" w:space="0" w:color="CBD9E6"/>
              <w:right w:val="single" w:sz="4" w:space="0" w:color="CBD9E6"/>
            </w:tcBorders>
            <w:shd w:val="clear" w:color="auto" w:fill="F4F9FD"/>
            <w:tcMar>
              <w:top w:w="50" w:type="dxa"/>
              <w:left w:w="100" w:type="dxa"/>
              <w:bottom w:w="50" w:type="dxa"/>
              <w:right w:w="100" w:type="dxa"/>
            </w:tcMar>
            <w:vAlign w:val="center"/>
          </w:tcPr>
          <w:p w:rsidR="002A7081" w:rsidRPr="00244B68" w:rsidRDefault="000A24F2">
            <w:pPr>
              <w:rPr>
                <w:rFonts w:ascii="Times New Roman" w:hAnsi="Times New Roman" w:cs="Times New Roman"/>
              </w:rPr>
            </w:pPr>
            <w:r>
              <w:rPr>
                <w:rFonts w:ascii="Times New Roman" w:hAnsi="Times New Roman" w:cs="Times New Roman"/>
                <w:sz w:val="19"/>
                <w:szCs w:val="19"/>
              </w:rPr>
              <w:t xml:space="preserve">Data cleaning &amp; </w:t>
            </w:r>
            <w:r w:rsidR="003A44FC">
              <w:rPr>
                <w:rFonts w:ascii="Times New Roman" w:hAnsi="Times New Roman" w:cs="Times New Roman"/>
                <w:sz w:val="19"/>
                <w:szCs w:val="19"/>
              </w:rPr>
              <w:t>pre-processing</w:t>
            </w:r>
            <w:r>
              <w:rPr>
                <w:rFonts w:ascii="Times New Roman" w:hAnsi="Times New Roman" w:cs="Times New Roman"/>
                <w:sz w:val="19"/>
                <w:szCs w:val="19"/>
              </w:rPr>
              <w:t xml:space="preserve"> in Power Query</w:t>
            </w:r>
          </w:p>
        </w:tc>
        <w:tc>
          <w:tcPr>
            <w:tcW w:w="4500" w:type="dxa"/>
            <w:tcBorders>
              <w:top w:val="single" w:sz="4" w:space="0" w:color="CBD9E6"/>
              <w:left w:val="single" w:sz="4" w:space="0" w:color="CBD9E6"/>
              <w:bottom w:val="single" w:sz="4" w:space="0" w:color="CBD9E6"/>
              <w:right w:val="single" w:sz="4" w:space="0" w:color="CBD9E6"/>
            </w:tcBorders>
            <w:shd w:val="clear" w:color="auto" w:fill="F4F9FD"/>
            <w:tcMar>
              <w:top w:w="50" w:type="dxa"/>
              <w:left w:w="100" w:type="dxa"/>
              <w:bottom w:w="50" w:type="dxa"/>
              <w:right w:w="100" w:type="dxa"/>
            </w:tcMar>
            <w:vAlign w:val="center"/>
          </w:tcPr>
          <w:p w:rsidR="002A7081" w:rsidRPr="00244B68" w:rsidRDefault="000A24F2">
            <w:pPr>
              <w:rPr>
                <w:rFonts w:ascii="Times New Roman" w:hAnsi="Times New Roman" w:cs="Times New Roman"/>
              </w:rPr>
            </w:pPr>
            <w:r>
              <w:rPr>
                <w:rFonts w:ascii="Times New Roman" w:hAnsi="Times New Roman" w:cs="Times New Roman"/>
                <w:sz w:val="19"/>
                <w:szCs w:val="19"/>
              </w:rPr>
              <w:t>Cleaned data, corrected types, handled nulls, split date/time, standardised categories</w:t>
            </w:r>
          </w:p>
        </w:tc>
      </w:tr>
      <w:tr w:rsidR="002A7081" w:rsidRPr="00244B68">
        <w:tc>
          <w:tcPr>
            <w:tcW w:w="1100" w:type="dxa"/>
            <w:tcBorders>
              <w:top w:val="single" w:sz="4" w:space="0" w:color="CBD9E6"/>
              <w:left w:val="single" w:sz="4" w:space="0" w:color="CBD9E6"/>
              <w:bottom w:val="single" w:sz="4" w:space="0" w:color="CBD9E6"/>
              <w:right w:val="single" w:sz="4" w:space="0" w:color="CBD9E6"/>
            </w:tcBorders>
            <w:shd w:val="clear" w:color="auto" w:fill="FFFFFF"/>
            <w:tcMar>
              <w:top w:w="50" w:type="dxa"/>
              <w:left w:w="100" w:type="dxa"/>
              <w:bottom w:w="50" w:type="dxa"/>
              <w:right w:w="100" w:type="dxa"/>
            </w:tcMar>
            <w:vAlign w:val="center"/>
          </w:tcPr>
          <w:p w:rsidR="002A7081" w:rsidRPr="00244B68" w:rsidRDefault="000A24F2">
            <w:pPr>
              <w:rPr>
                <w:rFonts w:ascii="Times New Roman" w:hAnsi="Times New Roman" w:cs="Times New Roman"/>
              </w:rPr>
            </w:pPr>
            <w:r>
              <w:rPr>
                <w:rFonts w:ascii="Times New Roman" w:hAnsi="Times New Roman" w:cs="Times New Roman"/>
                <w:sz w:val="19"/>
                <w:szCs w:val="19"/>
              </w:rPr>
              <w:t>Week 3</w:t>
            </w:r>
          </w:p>
        </w:tc>
        <w:tc>
          <w:tcPr>
            <w:tcW w:w="3900" w:type="dxa"/>
            <w:tcBorders>
              <w:top w:val="single" w:sz="4" w:space="0" w:color="CBD9E6"/>
              <w:left w:val="single" w:sz="4" w:space="0" w:color="CBD9E6"/>
              <w:bottom w:val="single" w:sz="4" w:space="0" w:color="CBD9E6"/>
              <w:right w:val="single" w:sz="4" w:space="0" w:color="CBD9E6"/>
            </w:tcBorders>
            <w:shd w:val="clear" w:color="auto" w:fill="FFFFFF"/>
            <w:tcMar>
              <w:top w:w="50" w:type="dxa"/>
              <w:left w:w="100" w:type="dxa"/>
              <w:bottom w:w="50" w:type="dxa"/>
              <w:right w:w="100" w:type="dxa"/>
            </w:tcMar>
            <w:vAlign w:val="center"/>
          </w:tcPr>
          <w:p w:rsidR="002A7081" w:rsidRPr="00244B68" w:rsidRDefault="000A24F2">
            <w:pPr>
              <w:rPr>
                <w:rFonts w:ascii="Times New Roman" w:hAnsi="Times New Roman" w:cs="Times New Roman"/>
              </w:rPr>
            </w:pPr>
            <w:r>
              <w:rPr>
                <w:rFonts w:ascii="Times New Roman" w:hAnsi="Times New Roman" w:cs="Times New Roman"/>
                <w:sz w:val="19"/>
                <w:szCs w:val="19"/>
              </w:rPr>
              <w:t xml:space="preserve">Data </w:t>
            </w:r>
            <w:r w:rsidR="003A44FC">
              <w:rPr>
                <w:rFonts w:ascii="Times New Roman" w:hAnsi="Times New Roman" w:cs="Times New Roman"/>
                <w:sz w:val="19"/>
                <w:szCs w:val="19"/>
              </w:rPr>
              <w:t>modelling</w:t>
            </w:r>
            <w:r>
              <w:rPr>
                <w:rFonts w:ascii="Times New Roman" w:hAnsi="Times New Roman" w:cs="Times New Roman"/>
                <w:sz w:val="19"/>
                <w:szCs w:val="19"/>
              </w:rPr>
              <w:t xml:space="preserve"> &amp; base DAX measures</w:t>
            </w:r>
          </w:p>
        </w:tc>
        <w:tc>
          <w:tcPr>
            <w:tcW w:w="4500" w:type="dxa"/>
            <w:tcBorders>
              <w:top w:val="single" w:sz="4" w:space="0" w:color="CBD9E6"/>
              <w:left w:val="single" w:sz="4" w:space="0" w:color="CBD9E6"/>
              <w:bottom w:val="single" w:sz="4" w:space="0" w:color="CBD9E6"/>
              <w:right w:val="single" w:sz="4" w:space="0" w:color="CBD9E6"/>
            </w:tcBorders>
            <w:shd w:val="clear" w:color="auto" w:fill="FFFFFF"/>
            <w:tcMar>
              <w:top w:w="50" w:type="dxa"/>
              <w:left w:w="100" w:type="dxa"/>
              <w:bottom w:w="50" w:type="dxa"/>
              <w:right w:w="100" w:type="dxa"/>
            </w:tcMar>
            <w:vAlign w:val="center"/>
          </w:tcPr>
          <w:p w:rsidR="002A7081" w:rsidRPr="00244B68" w:rsidRDefault="000A24F2">
            <w:pPr>
              <w:rPr>
                <w:rFonts w:ascii="Times New Roman" w:hAnsi="Times New Roman" w:cs="Times New Roman"/>
              </w:rPr>
            </w:pPr>
            <w:r>
              <w:rPr>
                <w:rFonts w:ascii="Times New Roman" w:hAnsi="Times New Roman" w:cs="Times New Roman"/>
                <w:sz w:val="19"/>
                <w:szCs w:val="19"/>
              </w:rPr>
              <w:t>Built &amp; marked Date table, set relationships, created core measures (Attack, High Severity)</w:t>
            </w:r>
          </w:p>
        </w:tc>
      </w:tr>
      <w:tr w:rsidR="002A7081" w:rsidRPr="00244B68">
        <w:tc>
          <w:tcPr>
            <w:tcW w:w="1100" w:type="dxa"/>
            <w:tcBorders>
              <w:top w:val="single" w:sz="4" w:space="0" w:color="CBD9E6"/>
              <w:left w:val="single" w:sz="4" w:space="0" w:color="CBD9E6"/>
              <w:bottom w:val="single" w:sz="4" w:space="0" w:color="CBD9E6"/>
              <w:right w:val="single" w:sz="4" w:space="0" w:color="CBD9E6"/>
            </w:tcBorders>
            <w:shd w:val="clear" w:color="auto" w:fill="F4F9FD"/>
            <w:tcMar>
              <w:top w:w="50" w:type="dxa"/>
              <w:left w:w="100" w:type="dxa"/>
              <w:bottom w:w="50" w:type="dxa"/>
              <w:right w:w="100" w:type="dxa"/>
            </w:tcMar>
            <w:vAlign w:val="center"/>
          </w:tcPr>
          <w:p w:rsidR="002A7081" w:rsidRPr="00244B68" w:rsidRDefault="000A24F2">
            <w:pPr>
              <w:rPr>
                <w:rFonts w:ascii="Times New Roman" w:hAnsi="Times New Roman" w:cs="Times New Roman"/>
              </w:rPr>
            </w:pPr>
            <w:r>
              <w:rPr>
                <w:rFonts w:ascii="Times New Roman" w:hAnsi="Times New Roman" w:cs="Times New Roman"/>
                <w:sz w:val="19"/>
                <w:szCs w:val="19"/>
              </w:rPr>
              <w:t>Week 4</w:t>
            </w:r>
          </w:p>
        </w:tc>
        <w:tc>
          <w:tcPr>
            <w:tcW w:w="3900" w:type="dxa"/>
            <w:tcBorders>
              <w:top w:val="single" w:sz="4" w:space="0" w:color="CBD9E6"/>
              <w:left w:val="single" w:sz="4" w:space="0" w:color="CBD9E6"/>
              <w:bottom w:val="single" w:sz="4" w:space="0" w:color="CBD9E6"/>
              <w:right w:val="single" w:sz="4" w:space="0" w:color="CBD9E6"/>
            </w:tcBorders>
            <w:shd w:val="clear" w:color="auto" w:fill="F4F9FD"/>
            <w:tcMar>
              <w:top w:w="50" w:type="dxa"/>
              <w:left w:w="100" w:type="dxa"/>
              <w:bottom w:w="50" w:type="dxa"/>
              <w:right w:w="100" w:type="dxa"/>
            </w:tcMar>
            <w:vAlign w:val="center"/>
          </w:tcPr>
          <w:p w:rsidR="002A7081" w:rsidRPr="00244B68" w:rsidRDefault="000A24F2">
            <w:pPr>
              <w:rPr>
                <w:rFonts w:ascii="Times New Roman" w:hAnsi="Times New Roman" w:cs="Times New Roman"/>
              </w:rPr>
            </w:pPr>
            <w:r>
              <w:rPr>
                <w:rFonts w:ascii="Times New Roman" w:hAnsi="Times New Roman" w:cs="Times New Roman"/>
                <w:sz w:val="19"/>
                <w:szCs w:val="19"/>
              </w:rPr>
              <w:t>First dashboards</w:t>
            </w:r>
          </w:p>
        </w:tc>
        <w:tc>
          <w:tcPr>
            <w:tcW w:w="4500" w:type="dxa"/>
            <w:tcBorders>
              <w:top w:val="single" w:sz="4" w:space="0" w:color="CBD9E6"/>
              <w:left w:val="single" w:sz="4" w:space="0" w:color="CBD9E6"/>
              <w:bottom w:val="single" w:sz="4" w:space="0" w:color="CBD9E6"/>
              <w:right w:val="single" w:sz="4" w:space="0" w:color="CBD9E6"/>
            </w:tcBorders>
            <w:shd w:val="clear" w:color="auto" w:fill="F4F9FD"/>
            <w:tcMar>
              <w:top w:w="50" w:type="dxa"/>
              <w:left w:w="100" w:type="dxa"/>
              <w:bottom w:w="50" w:type="dxa"/>
              <w:right w:w="100" w:type="dxa"/>
            </w:tcMar>
            <w:vAlign w:val="center"/>
          </w:tcPr>
          <w:p w:rsidR="002A7081" w:rsidRPr="00244B68" w:rsidRDefault="000A24F2">
            <w:pPr>
              <w:rPr>
                <w:rFonts w:ascii="Times New Roman" w:hAnsi="Times New Roman" w:cs="Times New Roman"/>
              </w:rPr>
            </w:pPr>
            <w:r>
              <w:rPr>
                <w:rFonts w:ascii="Times New Roman" w:hAnsi="Times New Roman" w:cs="Times New Roman"/>
                <w:sz w:val="19"/>
                <w:szCs w:val="19"/>
              </w:rPr>
              <w:t>Built Cyber Security Attacks &amp; Network Traffic dashboards with KPI cards</w:t>
            </w:r>
          </w:p>
        </w:tc>
      </w:tr>
      <w:tr w:rsidR="002A7081" w:rsidRPr="00244B68">
        <w:tc>
          <w:tcPr>
            <w:tcW w:w="1100" w:type="dxa"/>
            <w:tcBorders>
              <w:top w:val="single" w:sz="4" w:space="0" w:color="CBD9E6"/>
              <w:left w:val="single" w:sz="4" w:space="0" w:color="CBD9E6"/>
              <w:bottom w:val="single" w:sz="4" w:space="0" w:color="CBD9E6"/>
              <w:right w:val="single" w:sz="4" w:space="0" w:color="CBD9E6"/>
            </w:tcBorders>
            <w:shd w:val="clear" w:color="auto" w:fill="FFFFFF"/>
            <w:tcMar>
              <w:top w:w="50" w:type="dxa"/>
              <w:left w:w="100" w:type="dxa"/>
              <w:bottom w:w="50" w:type="dxa"/>
              <w:right w:w="100" w:type="dxa"/>
            </w:tcMar>
            <w:vAlign w:val="center"/>
          </w:tcPr>
          <w:p w:rsidR="002A7081" w:rsidRPr="00244B68" w:rsidRDefault="000A24F2">
            <w:pPr>
              <w:rPr>
                <w:rFonts w:ascii="Times New Roman" w:hAnsi="Times New Roman" w:cs="Times New Roman"/>
              </w:rPr>
            </w:pPr>
            <w:r>
              <w:rPr>
                <w:rFonts w:ascii="Times New Roman" w:hAnsi="Times New Roman" w:cs="Times New Roman"/>
                <w:sz w:val="19"/>
                <w:szCs w:val="19"/>
              </w:rPr>
              <w:t>Week 5</w:t>
            </w:r>
          </w:p>
        </w:tc>
        <w:tc>
          <w:tcPr>
            <w:tcW w:w="3900" w:type="dxa"/>
            <w:tcBorders>
              <w:top w:val="single" w:sz="4" w:space="0" w:color="CBD9E6"/>
              <w:left w:val="single" w:sz="4" w:space="0" w:color="CBD9E6"/>
              <w:bottom w:val="single" w:sz="4" w:space="0" w:color="CBD9E6"/>
              <w:right w:val="single" w:sz="4" w:space="0" w:color="CBD9E6"/>
            </w:tcBorders>
            <w:shd w:val="clear" w:color="auto" w:fill="FFFFFF"/>
            <w:tcMar>
              <w:top w:w="50" w:type="dxa"/>
              <w:left w:w="100" w:type="dxa"/>
              <w:bottom w:w="50" w:type="dxa"/>
              <w:right w:w="100" w:type="dxa"/>
            </w:tcMar>
            <w:vAlign w:val="center"/>
          </w:tcPr>
          <w:p w:rsidR="002A7081" w:rsidRPr="00244B68" w:rsidRDefault="000A24F2">
            <w:pPr>
              <w:rPr>
                <w:rFonts w:ascii="Times New Roman" w:hAnsi="Times New Roman" w:cs="Times New Roman"/>
              </w:rPr>
            </w:pPr>
            <w:r>
              <w:rPr>
                <w:rFonts w:ascii="Times New Roman" w:hAnsi="Times New Roman" w:cs="Times New Roman"/>
                <w:sz w:val="19"/>
                <w:szCs w:val="19"/>
              </w:rPr>
              <w:t>Anomaly &amp; user-behaviour analytics</w:t>
            </w:r>
          </w:p>
        </w:tc>
        <w:tc>
          <w:tcPr>
            <w:tcW w:w="4500" w:type="dxa"/>
            <w:tcBorders>
              <w:top w:val="single" w:sz="4" w:space="0" w:color="CBD9E6"/>
              <w:left w:val="single" w:sz="4" w:space="0" w:color="CBD9E6"/>
              <w:bottom w:val="single" w:sz="4" w:space="0" w:color="CBD9E6"/>
              <w:right w:val="single" w:sz="4" w:space="0" w:color="CBD9E6"/>
            </w:tcBorders>
            <w:shd w:val="clear" w:color="auto" w:fill="FFFFFF"/>
            <w:tcMar>
              <w:top w:w="50" w:type="dxa"/>
              <w:left w:w="100" w:type="dxa"/>
              <w:bottom w:w="50" w:type="dxa"/>
              <w:right w:w="100" w:type="dxa"/>
            </w:tcMar>
            <w:vAlign w:val="center"/>
          </w:tcPr>
          <w:p w:rsidR="002A7081" w:rsidRPr="00244B68" w:rsidRDefault="000A24F2">
            <w:pPr>
              <w:rPr>
                <w:rFonts w:ascii="Times New Roman" w:hAnsi="Times New Roman" w:cs="Times New Roman"/>
              </w:rPr>
            </w:pPr>
            <w:r>
              <w:rPr>
                <w:rFonts w:ascii="Times New Roman" w:hAnsi="Times New Roman" w:cs="Times New Roman"/>
                <w:sz w:val="19"/>
                <w:szCs w:val="19"/>
              </w:rPr>
              <w:t>Anomaly Score Band, gauge, OS &amp; browser analysis, user/device cards</w:t>
            </w:r>
          </w:p>
        </w:tc>
      </w:tr>
    </w:tbl>
    <w:p w:rsidR="003A44FC" w:rsidRDefault="003A44FC">
      <w:pPr>
        <w:pStyle w:val="Heading1"/>
        <w:pBdr>
          <w:bottom w:val="single" w:sz="14" w:space="4" w:color="0F7FC4"/>
        </w:pBdr>
        <w:spacing w:before="300" w:after="130"/>
        <w:rPr>
          <w:rFonts w:ascii="Times New Roman" w:hAnsi="Times New Roman" w:cs="Times New Roman"/>
        </w:rPr>
      </w:pPr>
    </w:p>
    <w:p w:rsidR="002A7081" w:rsidRPr="00244B68" w:rsidRDefault="000A24F2">
      <w:pPr>
        <w:pStyle w:val="Heading1"/>
        <w:pBdr>
          <w:bottom w:val="single" w:sz="14" w:space="4" w:color="0F7FC4"/>
        </w:pBdr>
        <w:spacing w:before="300" w:after="130"/>
        <w:rPr>
          <w:rFonts w:ascii="Times New Roman" w:hAnsi="Times New Roman" w:cs="Times New Roman"/>
        </w:rPr>
      </w:pPr>
      <w:r>
        <w:rPr>
          <w:rFonts w:ascii="Times New Roman" w:hAnsi="Times New Roman" w:cs="Times New Roman"/>
        </w:rPr>
        <w:t>5a. Key Milestones</w:t>
      </w:r>
    </w:p>
    <w:p w:rsidR="002A7081" w:rsidRPr="00244B68" w:rsidRDefault="000A24F2">
      <w:pPr>
        <w:spacing w:after="130" w:line="276" w:lineRule="auto"/>
        <w:jc w:val="both"/>
        <w:rPr>
          <w:rFonts w:ascii="Times New Roman" w:hAnsi="Times New Roman" w:cs="Times New Roman"/>
        </w:rPr>
      </w:pPr>
      <w:r>
        <w:rPr>
          <w:rFonts w:ascii="Times New Roman" w:hAnsi="Times New Roman" w:cs="Times New Roman"/>
        </w:rPr>
        <w:t>The project was organised around three key milestones, each building on the previous one.</w:t>
      </w:r>
    </w:p>
    <w:tbl>
      <w:tblPr>
        <w:tblW w:w="9500" w:type="dxa"/>
        <w:tblBorders>
          <w:top w:val="single" w:sz="4" w:space="0" w:color="CBD9E6"/>
          <w:left w:val="single" w:sz="4" w:space="0" w:color="CBD9E6"/>
          <w:bottom w:val="single" w:sz="4" w:space="0" w:color="CBD9E6"/>
          <w:right w:val="single" w:sz="4" w:space="0" w:color="CBD9E6"/>
          <w:insideH w:val="single" w:sz="4" w:space="0" w:color="CBD9E6"/>
          <w:insideV w:val="single" w:sz="4" w:space="0" w:color="CBD9E6"/>
        </w:tblBorders>
        <w:tblCellMar>
          <w:left w:w="10" w:type="dxa"/>
          <w:right w:w="10" w:type="dxa"/>
        </w:tblCellMar>
        <w:tblLook w:val="04A0" w:firstRow="1" w:lastRow="0" w:firstColumn="1" w:lastColumn="0" w:noHBand="0" w:noVBand="1"/>
      </w:tblPr>
      <w:tblGrid>
        <w:gridCol w:w="1900"/>
        <w:gridCol w:w="5600"/>
        <w:gridCol w:w="2000"/>
      </w:tblGrid>
      <w:tr w:rsidR="002A7081" w:rsidRPr="00244B68">
        <w:trPr>
          <w:tblHeader/>
        </w:trPr>
        <w:tc>
          <w:tcPr>
            <w:tcW w:w="1900" w:type="dxa"/>
            <w:tcBorders>
              <w:top w:val="single" w:sz="4" w:space="0" w:color="0A4A7A"/>
              <w:left w:val="single" w:sz="4" w:space="0" w:color="0A4A7A"/>
              <w:bottom w:val="single" w:sz="4" w:space="0" w:color="0A4A7A"/>
              <w:right w:val="single" w:sz="4" w:space="0" w:color="0A4A7A"/>
            </w:tcBorders>
            <w:shd w:val="clear" w:color="auto" w:fill="0A4A7A"/>
            <w:tcMar>
              <w:top w:w="60" w:type="dxa"/>
              <w:left w:w="100" w:type="dxa"/>
              <w:bottom w:w="60" w:type="dxa"/>
              <w:right w:w="100" w:type="dxa"/>
            </w:tcMar>
            <w:vAlign w:val="center"/>
          </w:tcPr>
          <w:p w:rsidR="002A7081" w:rsidRPr="00244B68" w:rsidRDefault="000A24F2">
            <w:pPr>
              <w:rPr>
                <w:rFonts w:ascii="Times New Roman" w:hAnsi="Times New Roman" w:cs="Times New Roman"/>
              </w:rPr>
            </w:pPr>
            <w:r>
              <w:rPr>
                <w:rFonts w:ascii="Times New Roman" w:hAnsi="Times New Roman" w:cs="Times New Roman"/>
                <w:b/>
                <w:bCs/>
                <w:color w:val="FFFFFF"/>
                <w:sz w:val="19"/>
                <w:szCs w:val="19"/>
              </w:rPr>
              <w:t>Milestone</w:t>
            </w:r>
          </w:p>
        </w:tc>
        <w:tc>
          <w:tcPr>
            <w:tcW w:w="5600" w:type="dxa"/>
            <w:tcBorders>
              <w:top w:val="single" w:sz="4" w:space="0" w:color="0A4A7A"/>
              <w:left w:val="single" w:sz="4" w:space="0" w:color="0A4A7A"/>
              <w:bottom w:val="single" w:sz="4" w:space="0" w:color="0A4A7A"/>
              <w:right w:val="single" w:sz="4" w:space="0" w:color="0A4A7A"/>
            </w:tcBorders>
            <w:shd w:val="clear" w:color="auto" w:fill="0A4A7A"/>
            <w:tcMar>
              <w:top w:w="60" w:type="dxa"/>
              <w:left w:w="100" w:type="dxa"/>
              <w:bottom w:w="60" w:type="dxa"/>
              <w:right w:w="100" w:type="dxa"/>
            </w:tcMar>
            <w:vAlign w:val="center"/>
          </w:tcPr>
          <w:p w:rsidR="002A7081" w:rsidRPr="00244B68" w:rsidRDefault="000A24F2">
            <w:pPr>
              <w:rPr>
                <w:rFonts w:ascii="Times New Roman" w:hAnsi="Times New Roman" w:cs="Times New Roman"/>
              </w:rPr>
            </w:pPr>
            <w:r>
              <w:rPr>
                <w:rFonts w:ascii="Times New Roman" w:hAnsi="Times New Roman" w:cs="Times New Roman"/>
                <w:b/>
                <w:bCs/>
                <w:color w:val="FFFFFF"/>
                <w:sz w:val="19"/>
                <w:szCs w:val="19"/>
              </w:rPr>
              <w:t>Focus</w:t>
            </w:r>
          </w:p>
        </w:tc>
        <w:tc>
          <w:tcPr>
            <w:tcW w:w="2000" w:type="dxa"/>
            <w:tcBorders>
              <w:top w:val="single" w:sz="4" w:space="0" w:color="0A4A7A"/>
              <w:left w:val="single" w:sz="4" w:space="0" w:color="0A4A7A"/>
              <w:bottom w:val="single" w:sz="4" w:space="0" w:color="0A4A7A"/>
              <w:right w:val="single" w:sz="4" w:space="0" w:color="0A4A7A"/>
            </w:tcBorders>
            <w:shd w:val="clear" w:color="auto" w:fill="0A4A7A"/>
            <w:tcMar>
              <w:top w:w="60" w:type="dxa"/>
              <w:left w:w="100" w:type="dxa"/>
              <w:bottom w:w="60" w:type="dxa"/>
              <w:right w:w="100" w:type="dxa"/>
            </w:tcMar>
            <w:vAlign w:val="center"/>
          </w:tcPr>
          <w:p w:rsidR="002A7081" w:rsidRPr="00244B68" w:rsidRDefault="000A24F2">
            <w:pPr>
              <w:rPr>
                <w:rFonts w:ascii="Times New Roman" w:hAnsi="Times New Roman" w:cs="Times New Roman"/>
              </w:rPr>
            </w:pPr>
            <w:r>
              <w:rPr>
                <w:rFonts w:ascii="Times New Roman" w:hAnsi="Times New Roman" w:cs="Times New Roman"/>
                <w:b/>
                <w:bCs/>
                <w:color w:val="FFFFFF"/>
                <w:sz w:val="19"/>
                <w:szCs w:val="19"/>
              </w:rPr>
              <w:t>Start Date</w:t>
            </w:r>
          </w:p>
        </w:tc>
      </w:tr>
      <w:tr w:rsidR="002A7081" w:rsidRPr="00244B68">
        <w:tc>
          <w:tcPr>
            <w:tcW w:w="1900" w:type="dxa"/>
            <w:tcBorders>
              <w:top w:val="single" w:sz="4" w:space="0" w:color="CBD9E6"/>
              <w:left w:val="single" w:sz="4" w:space="0" w:color="CBD9E6"/>
              <w:bottom w:val="single" w:sz="4" w:space="0" w:color="CBD9E6"/>
              <w:right w:val="single" w:sz="4" w:space="0" w:color="CBD9E6"/>
            </w:tcBorders>
            <w:shd w:val="clear" w:color="auto" w:fill="FFFFFF"/>
            <w:tcMar>
              <w:top w:w="50" w:type="dxa"/>
              <w:left w:w="100" w:type="dxa"/>
              <w:bottom w:w="50" w:type="dxa"/>
              <w:right w:w="100" w:type="dxa"/>
            </w:tcMar>
            <w:vAlign w:val="center"/>
          </w:tcPr>
          <w:p w:rsidR="002A7081" w:rsidRPr="00244B68" w:rsidRDefault="000A24F2">
            <w:pPr>
              <w:rPr>
                <w:rFonts w:ascii="Times New Roman" w:hAnsi="Times New Roman" w:cs="Times New Roman"/>
              </w:rPr>
            </w:pPr>
            <w:r>
              <w:rPr>
                <w:rFonts w:ascii="Times New Roman" w:hAnsi="Times New Roman" w:cs="Times New Roman"/>
                <w:b/>
                <w:bCs/>
              </w:rPr>
              <w:t>Milestone 1</w:t>
            </w:r>
          </w:p>
        </w:tc>
        <w:tc>
          <w:tcPr>
            <w:tcW w:w="5600" w:type="dxa"/>
            <w:tcBorders>
              <w:top w:val="single" w:sz="4" w:space="0" w:color="CBD9E6"/>
              <w:left w:val="single" w:sz="4" w:space="0" w:color="CBD9E6"/>
              <w:bottom w:val="single" w:sz="4" w:space="0" w:color="CBD9E6"/>
              <w:right w:val="single" w:sz="4" w:space="0" w:color="CBD9E6"/>
            </w:tcBorders>
            <w:shd w:val="clear" w:color="auto" w:fill="FFFFFF"/>
            <w:tcMar>
              <w:top w:w="50" w:type="dxa"/>
              <w:left w:w="100" w:type="dxa"/>
              <w:bottom w:w="50" w:type="dxa"/>
              <w:right w:w="100" w:type="dxa"/>
            </w:tcMar>
            <w:vAlign w:val="center"/>
          </w:tcPr>
          <w:p w:rsidR="002A7081" w:rsidRPr="00244B68" w:rsidRDefault="000A24F2">
            <w:pPr>
              <w:rPr>
                <w:rFonts w:ascii="Times New Roman" w:hAnsi="Times New Roman" w:cs="Times New Roman"/>
              </w:rPr>
            </w:pPr>
            <w:r>
              <w:rPr>
                <w:rFonts w:ascii="Times New Roman" w:hAnsi="Times New Roman" w:cs="Times New Roman"/>
                <w:sz w:val="19"/>
                <w:szCs w:val="19"/>
              </w:rPr>
              <w:t xml:space="preserve">Data Foundation &amp; Understanding </w:t>
            </w:r>
            <w:r w:rsidR="002B0252">
              <w:rPr>
                <w:rFonts w:ascii="Times New Roman" w:hAnsi="Times New Roman" w:cs="Times New Roman"/>
                <w:sz w:val="19"/>
                <w:szCs w:val="19"/>
              </w:rPr>
              <w:t>-</w:t>
            </w:r>
            <w:r>
              <w:rPr>
                <w:rFonts w:ascii="Times New Roman" w:hAnsi="Times New Roman" w:cs="Times New Roman"/>
                <w:sz w:val="19"/>
                <w:szCs w:val="19"/>
              </w:rPr>
              <w:t xml:space="preserve"> dataset acquisition, cleaning, </w:t>
            </w:r>
            <w:r w:rsidR="003A44FC">
              <w:rPr>
                <w:rFonts w:ascii="Times New Roman" w:hAnsi="Times New Roman" w:cs="Times New Roman"/>
                <w:sz w:val="19"/>
                <w:szCs w:val="19"/>
              </w:rPr>
              <w:t>modelling</w:t>
            </w:r>
            <w:r>
              <w:rPr>
                <w:rFonts w:ascii="Times New Roman" w:hAnsi="Times New Roman" w:cs="Times New Roman"/>
                <w:sz w:val="19"/>
                <w:szCs w:val="19"/>
              </w:rPr>
              <w:t xml:space="preserve"> and base KPIs</w:t>
            </w:r>
          </w:p>
        </w:tc>
        <w:tc>
          <w:tcPr>
            <w:tcW w:w="2000" w:type="dxa"/>
            <w:tcBorders>
              <w:top w:val="single" w:sz="4" w:space="0" w:color="CBD9E6"/>
              <w:left w:val="single" w:sz="4" w:space="0" w:color="CBD9E6"/>
              <w:bottom w:val="single" w:sz="4" w:space="0" w:color="CBD9E6"/>
              <w:right w:val="single" w:sz="4" w:space="0" w:color="CBD9E6"/>
            </w:tcBorders>
            <w:shd w:val="clear" w:color="auto" w:fill="FFFFFF"/>
            <w:tcMar>
              <w:top w:w="50" w:type="dxa"/>
              <w:left w:w="100" w:type="dxa"/>
              <w:bottom w:w="50" w:type="dxa"/>
              <w:right w:w="100" w:type="dxa"/>
            </w:tcMar>
            <w:vAlign w:val="center"/>
          </w:tcPr>
          <w:p w:rsidR="002A7081" w:rsidRPr="00244B68" w:rsidRDefault="00C0145D">
            <w:pPr>
              <w:rPr>
                <w:rFonts w:ascii="Times New Roman" w:hAnsi="Times New Roman" w:cs="Times New Roman"/>
              </w:rPr>
            </w:pPr>
            <w:r>
              <w:rPr>
                <w:rFonts w:ascii="Times New Roman" w:hAnsi="Times New Roman" w:cs="Times New Roman"/>
              </w:rPr>
              <w:t>28/06/2026</w:t>
            </w:r>
          </w:p>
        </w:tc>
      </w:tr>
      <w:tr w:rsidR="002A7081" w:rsidRPr="00244B68">
        <w:tc>
          <w:tcPr>
            <w:tcW w:w="1900" w:type="dxa"/>
            <w:tcBorders>
              <w:top w:val="single" w:sz="4" w:space="0" w:color="CBD9E6"/>
              <w:left w:val="single" w:sz="4" w:space="0" w:color="CBD9E6"/>
              <w:bottom w:val="single" w:sz="4" w:space="0" w:color="CBD9E6"/>
              <w:right w:val="single" w:sz="4" w:space="0" w:color="CBD9E6"/>
            </w:tcBorders>
            <w:shd w:val="clear" w:color="auto" w:fill="F4F9FD"/>
            <w:tcMar>
              <w:top w:w="50" w:type="dxa"/>
              <w:left w:w="100" w:type="dxa"/>
              <w:bottom w:w="50" w:type="dxa"/>
              <w:right w:w="100" w:type="dxa"/>
            </w:tcMar>
            <w:vAlign w:val="center"/>
          </w:tcPr>
          <w:p w:rsidR="002A7081" w:rsidRPr="00244B68" w:rsidRDefault="000A24F2">
            <w:pPr>
              <w:rPr>
                <w:rFonts w:ascii="Times New Roman" w:hAnsi="Times New Roman" w:cs="Times New Roman"/>
              </w:rPr>
            </w:pPr>
            <w:r>
              <w:rPr>
                <w:rFonts w:ascii="Times New Roman" w:hAnsi="Times New Roman" w:cs="Times New Roman"/>
                <w:b/>
                <w:bCs/>
              </w:rPr>
              <w:t>Milestone 2</w:t>
            </w:r>
          </w:p>
        </w:tc>
        <w:tc>
          <w:tcPr>
            <w:tcW w:w="5600" w:type="dxa"/>
            <w:tcBorders>
              <w:top w:val="single" w:sz="4" w:space="0" w:color="CBD9E6"/>
              <w:left w:val="single" w:sz="4" w:space="0" w:color="CBD9E6"/>
              <w:bottom w:val="single" w:sz="4" w:space="0" w:color="CBD9E6"/>
              <w:right w:val="single" w:sz="4" w:space="0" w:color="CBD9E6"/>
            </w:tcBorders>
            <w:shd w:val="clear" w:color="auto" w:fill="F4F9FD"/>
            <w:tcMar>
              <w:top w:w="50" w:type="dxa"/>
              <w:left w:w="100" w:type="dxa"/>
              <w:bottom w:w="50" w:type="dxa"/>
              <w:right w:w="100" w:type="dxa"/>
            </w:tcMar>
            <w:vAlign w:val="center"/>
          </w:tcPr>
          <w:p w:rsidR="002A7081" w:rsidRPr="00244B68" w:rsidRDefault="000A24F2">
            <w:pPr>
              <w:rPr>
                <w:rFonts w:ascii="Times New Roman" w:hAnsi="Times New Roman" w:cs="Times New Roman"/>
              </w:rPr>
            </w:pPr>
            <w:r>
              <w:rPr>
                <w:rFonts w:ascii="Times New Roman" w:hAnsi="Times New Roman" w:cs="Times New Roman"/>
                <w:sz w:val="19"/>
                <w:szCs w:val="19"/>
              </w:rPr>
              <w:t xml:space="preserve">Core Dashboards &amp; Behavioural Analytics </w:t>
            </w:r>
            <w:r w:rsidR="002B0252">
              <w:rPr>
                <w:rFonts w:ascii="Times New Roman" w:hAnsi="Times New Roman" w:cs="Times New Roman"/>
                <w:sz w:val="19"/>
                <w:szCs w:val="19"/>
              </w:rPr>
              <w:t>-</w:t>
            </w:r>
            <w:r>
              <w:rPr>
                <w:rFonts w:ascii="Times New Roman" w:hAnsi="Times New Roman" w:cs="Times New Roman"/>
                <w:sz w:val="19"/>
                <w:szCs w:val="19"/>
              </w:rPr>
              <w:t xml:space="preserve"> attack, traffic, anomaly and user-behaviour dashboards</w:t>
            </w:r>
          </w:p>
        </w:tc>
        <w:tc>
          <w:tcPr>
            <w:tcW w:w="2000" w:type="dxa"/>
            <w:tcBorders>
              <w:top w:val="single" w:sz="4" w:space="0" w:color="CBD9E6"/>
              <w:left w:val="single" w:sz="4" w:space="0" w:color="CBD9E6"/>
              <w:bottom w:val="single" w:sz="4" w:space="0" w:color="CBD9E6"/>
              <w:right w:val="single" w:sz="4" w:space="0" w:color="CBD9E6"/>
            </w:tcBorders>
            <w:shd w:val="clear" w:color="auto" w:fill="F4F9FD"/>
            <w:tcMar>
              <w:top w:w="50" w:type="dxa"/>
              <w:left w:w="100" w:type="dxa"/>
              <w:bottom w:w="50" w:type="dxa"/>
              <w:right w:w="100" w:type="dxa"/>
            </w:tcMar>
            <w:vAlign w:val="center"/>
          </w:tcPr>
          <w:p w:rsidR="002A7081" w:rsidRPr="00244B68" w:rsidRDefault="00B7284B">
            <w:pPr>
              <w:rPr>
                <w:rFonts w:ascii="Times New Roman" w:hAnsi="Times New Roman" w:cs="Times New Roman"/>
              </w:rPr>
            </w:pPr>
            <w:r>
              <w:rPr>
                <w:rFonts w:ascii="Times New Roman" w:hAnsi="Times New Roman" w:cs="Times New Roman"/>
              </w:rPr>
              <w:t>16/06/2026</w:t>
            </w:r>
          </w:p>
        </w:tc>
      </w:tr>
      <w:tr w:rsidR="002A7081" w:rsidRPr="00244B68">
        <w:tc>
          <w:tcPr>
            <w:tcW w:w="1900" w:type="dxa"/>
            <w:tcBorders>
              <w:top w:val="single" w:sz="4" w:space="0" w:color="CBD9E6"/>
              <w:left w:val="single" w:sz="4" w:space="0" w:color="CBD9E6"/>
              <w:bottom w:val="single" w:sz="4" w:space="0" w:color="CBD9E6"/>
              <w:right w:val="single" w:sz="4" w:space="0" w:color="CBD9E6"/>
            </w:tcBorders>
            <w:shd w:val="clear" w:color="auto" w:fill="FFFFFF"/>
            <w:tcMar>
              <w:top w:w="50" w:type="dxa"/>
              <w:left w:w="100" w:type="dxa"/>
              <w:bottom w:w="50" w:type="dxa"/>
              <w:right w:w="100" w:type="dxa"/>
            </w:tcMar>
            <w:vAlign w:val="center"/>
          </w:tcPr>
          <w:p w:rsidR="002A7081" w:rsidRPr="00244B68" w:rsidRDefault="000A24F2">
            <w:pPr>
              <w:rPr>
                <w:rFonts w:ascii="Times New Roman" w:hAnsi="Times New Roman" w:cs="Times New Roman"/>
              </w:rPr>
            </w:pPr>
            <w:r>
              <w:rPr>
                <w:rFonts w:ascii="Times New Roman" w:hAnsi="Times New Roman" w:cs="Times New Roman"/>
                <w:b/>
                <w:bCs/>
              </w:rPr>
              <w:t>Milestone 3</w:t>
            </w:r>
          </w:p>
        </w:tc>
        <w:tc>
          <w:tcPr>
            <w:tcW w:w="5600" w:type="dxa"/>
            <w:tcBorders>
              <w:top w:val="single" w:sz="4" w:space="0" w:color="CBD9E6"/>
              <w:left w:val="single" w:sz="4" w:space="0" w:color="CBD9E6"/>
              <w:bottom w:val="single" w:sz="4" w:space="0" w:color="CBD9E6"/>
              <w:right w:val="single" w:sz="4" w:space="0" w:color="CBD9E6"/>
            </w:tcBorders>
            <w:shd w:val="clear" w:color="auto" w:fill="FFFFFF"/>
            <w:tcMar>
              <w:top w:w="50" w:type="dxa"/>
              <w:left w:w="100" w:type="dxa"/>
              <w:bottom w:w="50" w:type="dxa"/>
              <w:right w:w="100" w:type="dxa"/>
            </w:tcMar>
            <w:vAlign w:val="center"/>
          </w:tcPr>
          <w:p w:rsidR="002A7081" w:rsidRPr="00244B68" w:rsidRDefault="000A24F2">
            <w:pPr>
              <w:rPr>
                <w:rFonts w:ascii="Times New Roman" w:hAnsi="Times New Roman" w:cs="Times New Roman"/>
              </w:rPr>
            </w:pPr>
            <w:r>
              <w:rPr>
                <w:rFonts w:ascii="Times New Roman" w:hAnsi="Times New Roman" w:cs="Times New Roman"/>
                <w:sz w:val="19"/>
                <w:szCs w:val="19"/>
              </w:rPr>
              <w:t xml:space="preserve">Advanced Threat Profiling, Insights &amp; Reporting </w:t>
            </w:r>
            <w:r w:rsidR="002B0252">
              <w:rPr>
                <w:rFonts w:ascii="Times New Roman" w:hAnsi="Times New Roman" w:cs="Times New Roman"/>
                <w:sz w:val="19"/>
                <w:szCs w:val="19"/>
              </w:rPr>
              <w:t>-</w:t>
            </w:r>
            <w:r>
              <w:rPr>
                <w:rFonts w:ascii="Times New Roman" w:hAnsi="Times New Roman" w:cs="Times New Roman"/>
                <w:sz w:val="19"/>
                <w:szCs w:val="19"/>
              </w:rPr>
              <w:t xml:space="preserve"> decomposition, severity profiling, insight synthesis and documentation</w:t>
            </w:r>
          </w:p>
        </w:tc>
        <w:tc>
          <w:tcPr>
            <w:tcW w:w="2000" w:type="dxa"/>
            <w:tcBorders>
              <w:top w:val="single" w:sz="4" w:space="0" w:color="CBD9E6"/>
              <w:left w:val="single" w:sz="4" w:space="0" w:color="CBD9E6"/>
              <w:bottom w:val="single" w:sz="4" w:space="0" w:color="CBD9E6"/>
              <w:right w:val="single" w:sz="4" w:space="0" w:color="CBD9E6"/>
            </w:tcBorders>
            <w:shd w:val="clear" w:color="auto" w:fill="FFFFFF"/>
            <w:tcMar>
              <w:top w:w="50" w:type="dxa"/>
              <w:left w:w="100" w:type="dxa"/>
              <w:bottom w:w="50" w:type="dxa"/>
              <w:right w:w="100" w:type="dxa"/>
            </w:tcMar>
            <w:vAlign w:val="center"/>
          </w:tcPr>
          <w:p w:rsidR="002A7081" w:rsidRPr="00244B68" w:rsidRDefault="00C0145D">
            <w:pPr>
              <w:rPr>
                <w:rFonts w:ascii="Times New Roman" w:hAnsi="Times New Roman" w:cs="Times New Roman"/>
              </w:rPr>
            </w:pPr>
            <w:r>
              <w:rPr>
                <w:rFonts w:ascii="Times New Roman" w:hAnsi="Times New Roman" w:cs="Times New Roman"/>
              </w:rPr>
              <w:t>29/06/2026</w:t>
            </w:r>
          </w:p>
        </w:tc>
      </w:tr>
    </w:tbl>
    <w:p w:rsidR="00EC5B23" w:rsidRDefault="00EC5B23">
      <w:pPr>
        <w:pStyle w:val="Heading1"/>
        <w:pBdr>
          <w:bottom w:val="single" w:sz="14" w:space="4" w:color="0F7FC4"/>
        </w:pBdr>
        <w:spacing w:before="300" w:after="130"/>
        <w:rPr>
          <w:rFonts w:ascii="Times New Roman" w:hAnsi="Times New Roman" w:cs="Times New Roman"/>
        </w:rPr>
      </w:pPr>
    </w:p>
    <w:p w:rsidR="00EC5B23" w:rsidRDefault="00EC5B23">
      <w:pPr>
        <w:pStyle w:val="Heading1"/>
        <w:pBdr>
          <w:bottom w:val="single" w:sz="14" w:space="4" w:color="0F7FC4"/>
        </w:pBdr>
        <w:spacing w:before="300" w:after="130"/>
        <w:rPr>
          <w:rFonts w:ascii="Times New Roman" w:hAnsi="Times New Roman" w:cs="Times New Roman"/>
        </w:rPr>
      </w:pPr>
    </w:p>
    <w:p w:rsidR="00EC5B23" w:rsidRDefault="00EC5B23">
      <w:pPr>
        <w:pStyle w:val="Heading1"/>
        <w:pBdr>
          <w:bottom w:val="single" w:sz="14" w:space="4" w:color="0F7FC4"/>
        </w:pBdr>
        <w:spacing w:before="300" w:after="130"/>
        <w:rPr>
          <w:rFonts w:ascii="Times New Roman" w:hAnsi="Times New Roman" w:cs="Times New Roman"/>
        </w:rPr>
      </w:pPr>
    </w:p>
    <w:p w:rsidR="00EC5B23" w:rsidRPr="00EC5B23" w:rsidRDefault="00EC5B23">
      <w:pPr>
        <w:pStyle w:val="Heading1"/>
        <w:pBdr>
          <w:bottom w:val="single" w:sz="14" w:space="4" w:color="0F7FC4"/>
        </w:pBdr>
        <w:spacing w:before="300" w:after="130"/>
        <w:rPr>
          <w:rFonts w:ascii="Times New Roman" w:hAnsi="Times New Roman" w:cs="Times New Roman"/>
          <w:sz w:val="26"/>
          <w:szCs w:val="26"/>
        </w:rPr>
      </w:pPr>
    </w:p>
    <w:p w:rsidR="00132765" w:rsidRPr="00EC5B23" w:rsidRDefault="00C86F87">
      <w:pPr>
        <w:pStyle w:val="Heading1"/>
        <w:pBdr>
          <w:bottom w:val="single" w:sz="14" w:space="4" w:color="0F7FC4"/>
        </w:pBdr>
        <w:spacing w:before="300" w:after="130"/>
        <w:rPr>
          <w:rFonts w:ascii="Times New Roman" w:hAnsi="Times New Roman" w:cs="Times New Roman"/>
          <w:sz w:val="26"/>
          <w:szCs w:val="26"/>
        </w:rPr>
      </w:pPr>
      <w:r w:rsidRPr="00EC5B23">
        <w:rPr>
          <w:rFonts w:ascii="Times New Roman" w:hAnsi="Times New Roman" w:cs="Times New Roman"/>
          <w:sz w:val="26"/>
          <w:szCs w:val="26"/>
        </w:rPr>
        <w:lastRenderedPageBreak/>
        <w:t>Milestone 1</w:t>
      </w:r>
    </w:p>
    <w:p w:rsidR="00AD5D78" w:rsidRPr="00AD5D78" w:rsidRDefault="00AD5D78" w:rsidP="00AD5D78">
      <w:pPr>
        <w:keepNext/>
        <w:spacing w:before="300" w:after="90"/>
        <w:outlineLvl w:val="0"/>
        <w:rPr>
          <w:color w:val="2E74B5"/>
          <w:sz w:val="32"/>
          <w:szCs w:val="32"/>
        </w:rPr>
      </w:pPr>
      <w:r w:rsidRPr="00AD5D78">
        <w:rPr>
          <w:b/>
          <w:bCs/>
          <w:color w:val="2F3E4E"/>
          <w:sz w:val="26"/>
          <w:szCs w:val="26"/>
        </w:rPr>
        <w:t>Project Execution Details</w:t>
      </w:r>
    </w:p>
    <w:p w:rsidR="00AD5D78" w:rsidRPr="00AD5D78" w:rsidRDefault="00AD5D78" w:rsidP="00AD5D78">
      <w:pPr>
        <w:keepNext/>
        <w:spacing w:before="160" w:after="70"/>
        <w:outlineLvl w:val="1"/>
        <w:rPr>
          <w:color w:val="2E74B5"/>
          <w:sz w:val="26"/>
          <w:szCs w:val="26"/>
        </w:rPr>
      </w:pPr>
      <w:r w:rsidRPr="00AD5D78">
        <w:rPr>
          <w:b/>
          <w:bCs/>
          <w:color w:val="2F3E4E"/>
          <w:sz w:val="22"/>
          <w:szCs w:val="22"/>
        </w:rPr>
        <w:t>1.  Data Collection &amp; Pre-processing (Milestone 1)</w:t>
      </w:r>
    </w:p>
    <w:p w:rsidR="00AD5D78" w:rsidRPr="00AD5D78" w:rsidRDefault="00AD5D78" w:rsidP="00AD5D78">
      <w:pPr>
        <w:keepNext/>
        <w:numPr>
          <w:ilvl w:val="0"/>
          <w:numId w:val="35"/>
        </w:numPr>
        <w:spacing w:before="300" w:after="90"/>
        <w:jc w:val="both"/>
        <w:outlineLvl w:val="0"/>
        <w:rPr>
          <w:color w:val="1A1A1A"/>
        </w:rPr>
      </w:pPr>
      <w:r w:rsidRPr="00AD5D78">
        <w:rPr>
          <w:color w:val="1A1A1A"/>
        </w:rPr>
        <w:t>Work completed during Week 1 covered the first stage of the pipeline  acquiring the dataset and preparing it for analysis (Milestone 1). All preparation was carried out in Power Query, where every transformation was applied as a recorded, repeatable step. The query for this milestone contains 19 applied steps; the work they represent is summarised below in the order performed.</w:t>
      </w:r>
    </w:p>
    <w:p w:rsidR="00AD5D78" w:rsidRPr="00AD5D78" w:rsidRDefault="00AD5D78" w:rsidP="00AD5D78">
      <w:pPr>
        <w:keepNext/>
        <w:numPr>
          <w:ilvl w:val="0"/>
          <w:numId w:val="35"/>
        </w:numPr>
        <w:spacing w:before="300" w:after="90"/>
        <w:jc w:val="both"/>
        <w:outlineLvl w:val="0"/>
        <w:rPr>
          <w:color w:val="1A1A1A"/>
        </w:rPr>
      </w:pPr>
      <w:r w:rsidRPr="00AD5D78">
        <w:rPr>
          <w:color w:val="1A1A1A"/>
        </w:rPr>
        <w:t>Imported the raw data (Source). Connected Power Query to the "Cyber Security Attacks" dataset obtained from Kaggle  40,000 network-activity records described by 25 features and spanning January 2020 to October 2023 and loaded it into the editor as the starting point of the pipeline.</w:t>
      </w:r>
    </w:p>
    <w:p w:rsidR="00AD5D78" w:rsidRPr="00AD5D78" w:rsidRDefault="00AD5D78" w:rsidP="00AD5D78">
      <w:pPr>
        <w:keepNext/>
        <w:numPr>
          <w:ilvl w:val="0"/>
          <w:numId w:val="35"/>
        </w:numPr>
        <w:spacing w:before="300" w:after="90"/>
        <w:jc w:val="both"/>
        <w:outlineLvl w:val="0"/>
        <w:rPr>
          <w:color w:val="1A1A1A"/>
        </w:rPr>
      </w:pPr>
      <w:r w:rsidRPr="00AD5D78">
        <w:rPr>
          <w:color w:val="1A1A1A"/>
        </w:rPr>
        <w:t>Promoted the header row (Promoted Headers). Set the file's first row as column headers so that all 25 fields (Timestamp, Source and Destination IP Address, Protocol, Attack Type, Severity Level, Action Taken, and so on) were correctly named and addressable.</w:t>
      </w:r>
    </w:p>
    <w:p w:rsidR="00AD5D78" w:rsidRPr="00AD5D78" w:rsidRDefault="00AD5D78" w:rsidP="00AD5D78">
      <w:pPr>
        <w:keepNext/>
        <w:numPr>
          <w:ilvl w:val="0"/>
          <w:numId w:val="35"/>
        </w:numPr>
        <w:spacing w:before="300" w:after="90"/>
        <w:jc w:val="both"/>
        <w:outlineLvl w:val="0"/>
        <w:rPr>
          <w:color w:val="1A1A1A"/>
        </w:rPr>
      </w:pPr>
      <w:r w:rsidRPr="00AD5D78">
        <w:rPr>
          <w:color w:val="1A1A1A"/>
        </w:rPr>
        <w:t xml:space="preserve">Separated composite fields (Split Column by Delimiter, applied twice). Broke delimited columns into their individual components so that packed values could be analysed on their own </w:t>
      </w:r>
      <w:r w:rsidR="00EC5B23">
        <w:rPr>
          <w:color w:val="1A1A1A"/>
        </w:rPr>
        <w:t>-</w:t>
      </w:r>
      <w:r w:rsidRPr="00AD5D78">
        <w:rPr>
          <w:color w:val="1A1A1A"/>
        </w:rPr>
        <w:t xml:space="preserve"> for example separating date and time parts, and splitting combined values such as a geo-location or a device/browser string into distinct columns.</w:t>
      </w:r>
    </w:p>
    <w:p w:rsidR="00AD5D78" w:rsidRPr="00AD5D78" w:rsidRDefault="00AD5D78" w:rsidP="00AD5D78">
      <w:pPr>
        <w:keepNext/>
        <w:numPr>
          <w:ilvl w:val="0"/>
          <w:numId w:val="35"/>
        </w:numPr>
        <w:spacing w:before="300" w:after="90"/>
        <w:jc w:val="both"/>
        <w:outlineLvl w:val="0"/>
        <w:rPr>
          <w:color w:val="1A1A1A"/>
        </w:rPr>
      </w:pPr>
      <w:r w:rsidRPr="00AD5D78">
        <w:rPr>
          <w:color w:val="1A1A1A"/>
        </w:rPr>
        <w:t>Set and corrected data types (Changed Type, applied four times). Assigned the appropriate type to every column text, whole number, decimal and date/time  and re-applied type changes after each structural change so the data stayed consistent; this is also where the Timestamp field was converted to a proper date/time type to enable later time-based analysis.</w:t>
      </w:r>
    </w:p>
    <w:p w:rsidR="00AD5D78" w:rsidRPr="00AD5D78" w:rsidRDefault="00AD5D78" w:rsidP="00AD5D78">
      <w:pPr>
        <w:keepNext/>
        <w:numPr>
          <w:ilvl w:val="0"/>
          <w:numId w:val="35"/>
        </w:numPr>
        <w:spacing w:before="300" w:after="90"/>
        <w:jc w:val="both"/>
        <w:outlineLvl w:val="0"/>
        <w:rPr>
          <w:color w:val="1A1A1A"/>
        </w:rPr>
      </w:pPr>
      <w:r w:rsidRPr="00AD5D78">
        <w:rPr>
          <w:color w:val="1A1A1A"/>
        </w:rPr>
        <w:t>Renamed columns for clarity (Renamed Columns, applied twice). Gave the newly derived and existing columns clear, consistent, analysis-friendly names.</w:t>
      </w:r>
    </w:p>
    <w:p w:rsidR="00AD5D78" w:rsidRPr="00AD5D78" w:rsidRDefault="00AD5D78" w:rsidP="00AD5D78">
      <w:pPr>
        <w:keepNext/>
        <w:numPr>
          <w:ilvl w:val="0"/>
          <w:numId w:val="35"/>
        </w:numPr>
        <w:spacing w:before="300" w:after="90"/>
        <w:jc w:val="both"/>
        <w:outlineLvl w:val="0"/>
        <w:rPr>
          <w:color w:val="1A1A1A"/>
        </w:rPr>
      </w:pPr>
      <w:r w:rsidRPr="00AD5D78">
        <w:rPr>
          <w:color w:val="1A1A1A"/>
        </w:rPr>
        <w:t>Cleaned and standardised values (Replaced Value, applied six times). Ran a series of find-and-replace operations to normalise the data replacing blank or placeholder entries, unifying inconsistent category labels, and correcting irregular values in fields such as Attack Type, Protocol, Severity Level and Action Taken so that each category is represented consistently.</w:t>
      </w:r>
    </w:p>
    <w:p w:rsidR="00AD5D78" w:rsidRPr="00AD5D78" w:rsidRDefault="00AD5D78" w:rsidP="00AD5D78">
      <w:pPr>
        <w:keepNext/>
        <w:numPr>
          <w:ilvl w:val="0"/>
          <w:numId w:val="35"/>
        </w:numPr>
        <w:spacing w:before="300" w:after="90"/>
        <w:jc w:val="both"/>
        <w:outlineLvl w:val="0"/>
        <w:rPr>
          <w:color w:val="1A1A1A"/>
        </w:rPr>
      </w:pPr>
      <w:r w:rsidRPr="00AD5D78">
        <w:rPr>
          <w:color w:val="1A1A1A"/>
        </w:rPr>
        <w:t>Removed redundant columns (Removed Columns). Dropped fields not required for the analysis (for example, raw columns already split into cleaner components and low-value fields such as payload text), reducing noise and file size.</w:t>
      </w:r>
    </w:p>
    <w:p w:rsidR="00AD5D78" w:rsidRPr="00AD5D78" w:rsidRDefault="00AD5D78" w:rsidP="00AD5D78">
      <w:pPr>
        <w:keepNext/>
        <w:numPr>
          <w:ilvl w:val="0"/>
          <w:numId w:val="35"/>
        </w:numPr>
        <w:spacing w:before="300" w:after="90"/>
        <w:jc w:val="both"/>
        <w:outlineLvl w:val="0"/>
        <w:rPr>
          <w:color w:val="1A1A1A"/>
        </w:rPr>
      </w:pPr>
      <w:r w:rsidRPr="00AD5D78">
        <w:rPr>
          <w:color w:val="1A1A1A"/>
        </w:rPr>
        <w:t>Removed duplicate records (Removed Duplicates). Eliminated repeated rows so that every security event is unique and event counts are not inflated.</w:t>
      </w:r>
    </w:p>
    <w:p w:rsidR="00AD5D78" w:rsidRPr="00AD5D78" w:rsidRDefault="00AD5D78" w:rsidP="00AD5D78">
      <w:pPr>
        <w:keepNext/>
        <w:numPr>
          <w:ilvl w:val="0"/>
          <w:numId w:val="35"/>
        </w:numPr>
        <w:spacing w:before="300" w:after="90"/>
        <w:jc w:val="both"/>
        <w:outlineLvl w:val="0"/>
        <w:rPr>
          <w:color w:val="1A1A1A"/>
        </w:rPr>
      </w:pPr>
      <w:r w:rsidRPr="00AD5D78">
        <w:rPr>
          <w:color w:val="1A1A1A"/>
        </w:rPr>
        <w:t>Removed error rows (Removed Errors). Discarded rows that produced conversion errors from invalid or malformed values, leaving only clean, well-typed records.</w:t>
      </w:r>
    </w:p>
    <w:p w:rsidR="00AD5D78" w:rsidRDefault="00AD5D78" w:rsidP="00AD5D78">
      <w:pPr>
        <w:keepNext/>
        <w:spacing w:before="300" w:after="90"/>
        <w:jc w:val="both"/>
        <w:outlineLvl w:val="0"/>
        <w:rPr>
          <w:color w:val="1A1A1A"/>
        </w:rPr>
      </w:pPr>
      <w:r w:rsidRPr="00AD5D78">
        <w:rPr>
          <w:color w:val="1A1A1A"/>
        </w:rPr>
        <w:t>Together these steps produced a clean, consistent and fully analysis-ready dataset, which was then loaded through Close &amp; Load for use in the next phase.</w:t>
      </w:r>
    </w:p>
    <w:p w:rsidR="00EC5B23" w:rsidRDefault="00EC5B23" w:rsidP="00AD5D78">
      <w:pPr>
        <w:pStyle w:val="Heading1"/>
        <w:pBdr>
          <w:bottom w:val="single" w:sz="14" w:space="4" w:color="0F7FC4"/>
        </w:pBdr>
        <w:spacing w:before="300" w:after="130"/>
        <w:rPr>
          <w:rFonts w:ascii="Times New Roman" w:hAnsi="Times New Roman" w:cs="Times New Roman"/>
        </w:rPr>
      </w:pPr>
    </w:p>
    <w:p w:rsidR="00AD5D78" w:rsidRPr="00EC5B23" w:rsidRDefault="00AD5D78" w:rsidP="00AD5D78">
      <w:pPr>
        <w:pStyle w:val="Heading1"/>
        <w:pBdr>
          <w:bottom w:val="single" w:sz="14" w:space="4" w:color="0F7FC4"/>
        </w:pBdr>
        <w:spacing w:before="300" w:after="130"/>
        <w:rPr>
          <w:rFonts w:ascii="Times New Roman" w:hAnsi="Times New Roman" w:cs="Times New Roman"/>
          <w:sz w:val="26"/>
          <w:szCs w:val="26"/>
        </w:rPr>
      </w:pPr>
      <w:r w:rsidRPr="00EC5B23">
        <w:rPr>
          <w:rFonts w:ascii="Times New Roman" w:hAnsi="Times New Roman" w:cs="Times New Roman"/>
          <w:sz w:val="26"/>
          <w:szCs w:val="26"/>
        </w:rPr>
        <w:lastRenderedPageBreak/>
        <w:t>Milestone 2</w:t>
      </w:r>
    </w:p>
    <w:p w:rsidR="00AD5D78" w:rsidRPr="00D1759E" w:rsidRDefault="00AD5D78" w:rsidP="00AD5D78">
      <w:pPr>
        <w:pStyle w:val="Heading1"/>
        <w:spacing w:before="280" w:after="120"/>
        <w:rPr>
          <w:sz w:val="26"/>
          <w:szCs w:val="26"/>
        </w:rPr>
      </w:pPr>
      <w:r w:rsidRPr="00D1759E">
        <w:rPr>
          <w:sz w:val="26"/>
          <w:szCs w:val="26"/>
        </w:rPr>
        <w:t>Dashboard 1 - Cyber Security Attacks Analysis</w:t>
      </w:r>
    </w:p>
    <w:p w:rsidR="00AD5D78" w:rsidRDefault="00AD5D78" w:rsidP="00AD5D78">
      <w:pPr>
        <w:spacing w:after="140" w:line="276" w:lineRule="auto"/>
        <w:jc w:val="both"/>
      </w:pPr>
      <w:r>
        <w:t>The first dashboard is a single-screen overview of the entire attack landscape. A KPI band across the top gives the headline numbers, a geographic map anchors the layout, and a set of distribution and breakdown charts explain the composition of the attacks. Its visuals are:</w:t>
      </w:r>
    </w:p>
    <w:p w:rsidR="00AD5D78" w:rsidRDefault="00AD5D78" w:rsidP="00AD5D78">
      <w:pPr>
        <w:pStyle w:val="Heading2"/>
        <w:spacing w:before="180" w:after="80"/>
      </w:pPr>
      <w:r>
        <w:t>4.1 KPI band</w:t>
      </w:r>
    </w:p>
    <w:p w:rsidR="00AD5D78" w:rsidRDefault="00AD5D78" w:rsidP="00AD5D78">
      <w:pPr>
        <w:pStyle w:val="ListParagraph"/>
        <w:numPr>
          <w:ilvl w:val="0"/>
          <w:numId w:val="36"/>
        </w:numPr>
        <w:spacing w:after="90" w:line="272" w:lineRule="auto"/>
      </w:pPr>
      <w:r>
        <w:rPr>
          <w:b/>
          <w:bCs/>
        </w:rPr>
        <w:t>Total Attack</w:t>
      </w:r>
      <w:r>
        <w:t xml:space="preserve"> </w:t>
      </w:r>
      <w:r w:rsidR="00EC5B23">
        <w:t>-</w:t>
      </w:r>
      <w:r>
        <w:t xml:space="preserve"> a single-value card built on a distinct count of the Attack ID field, so it reports the full size of the analysed dataset </w:t>
      </w:r>
      <w:r w:rsidR="00EC5B23">
        <w:t>-</w:t>
      </w:r>
      <w:r>
        <w:t xml:space="preserve"> roughly 40,000 recorded attack events. Positioned at the top-left, it acts as the anchor KPI and establishes the denominator against which every other proportion on the page (attack-type shares, severity splits, protocol mix) should be read. Because it responds to selections made elsewhere on the page, clicking a segment in any chart updates this figure to show how many of the events fall inside the current selection.</w:t>
      </w:r>
    </w:p>
    <w:p w:rsidR="00AD5D78" w:rsidRDefault="00AD5D78" w:rsidP="00AD5D78">
      <w:pPr>
        <w:pStyle w:val="ListParagraph"/>
        <w:numPr>
          <w:ilvl w:val="0"/>
          <w:numId w:val="36"/>
        </w:numPr>
        <w:spacing w:after="90" w:line="272" w:lineRule="auto"/>
      </w:pPr>
      <w:r>
        <w:rPr>
          <w:b/>
          <w:bCs/>
        </w:rPr>
        <w:t>Low Severity</w:t>
      </w:r>
      <w:r>
        <w:t xml:space="preserve"> </w:t>
      </w:r>
      <w:r w:rsidR="00EC5B23">
        <w:t>-</w:t>
      </w:r>
      <w:r>
        <w:t xml:space="preserve"> a KPI visual that isolates the number of events classified as Low severity, shown as a headline count with a compact trend indicator beneath it. Read next to the High Severity KPI, it gives an immediate sense of how the traffic splits between routine, low-risk activity and events that demand attention. A large low-severity share signals that most recorded activity is background noise, which helps analysts calibrate how aggressively to triage.</w:t>
      </w:r>
    </w:p>
    <w:p w:rsidR="00AD5D78" w:rsidRDefault="00AD5D78" w:rsidP="00AD5D78">
      <w:pPr>
        <w:pStyle w:val="ListParagraph"/>
        <w:numPr>
          <w:ilvl w:val="0"/>
          <w:numId w:val="36"/>
        </w:numPr>
        <w:spacing w:after="90" w:line="272" w:lineRule="auto"/>
      </w:pPr>
      <w:r>
        <w:rPr>
          <w:b/>
          <w:bCs/>
        </w:rPr>
        <w:t>High Severity</w:t>
      </w:r>
      <w:r>
        <w:t xml:space="preserve"> </w:t>
      </w:r>
      <w:r w:rsidR="00EC5B23">
        <w:t>-</w:t>
      </w:r>
      <w:r>
        <w:t xml:space="preserve"> the companion KPI to Low Severity, counting the events flagged as High severity and presenting them in the same headline-plus-trend format. This is the fastest read on the page for how much of what is being seen is serious, and the gap between this figure and the Low Severity count serves as a first, coarse prioritisation signal before the analyst drills into the charts below.</w:t>
      </w:r>
    </w:p>
    <w:p w:rsidR="00AD5D78" w:rsidRDefault="00AD5D78" w:rsidP="00AD5D78">
      <w:pPr>
        <w:pStyle w:val="Heading2"/>
        <w:spacing w:before="180" w:after="80"/>
      </w:pPr>
      <w:r>
        <w:t>4.2 Distribution, breakdown and trend visuals</w:t>
      </w:r>
    </w:p>
    <w:p w:rsidR="00AD5D78" w:rsidRDefault="00AD5D78" w:rsidP="00AD5D78">
      <w:pPr>
        <w:pStyle w:val="ListParagraph"/>
        <w:numPr>
          <w:ilvl w:val="0"/>
          <w:numId w:val="36"/>
        </w:numPr>
        <w:spacing w:after="90" w:line="272" w:lineRule="auto"/>
      </w:pPr>
      <w:r>
        <w:rPr>
          <w:b/>
          <w:bCs/>
        </w:rPr>
        <w:t>Geographic Spread (map)</w:t>
      </w:r>
      <w:r>
        <w:t xml:space="preserve"> </w:t>
      </w:r>
      <w:r w:rsidR="00EC5B23">
        <w:t>-</w:t>
      </w:r>
      <w:r>
        <w:t xml:space="preserve"> a bubble map that anchors the right-hand side of the dashboard and answers where the activity is coming from. Each bubble is positioned by geography (State, and at finer zoom City); bubble size is driven by the count of attack events, so high-volume locations dominate visually, while bubble colour segments each location by attack type (DDoS, Malware, Intrusion). A single glance therefore shows both how much activity a place generates and what kind. Occupying the full height of the layout, it forms the geographic backbone that the flat charts on the left complement.</w:t>
      </w:r>
    </w:p>
    <w:p w:rsidR="00AD5D78" w:rsidRDefault="00AD5D78" w:rsidP="00AD5D78">
      <w:pPr>
        <w:pStyle w:val="ListParagraph"/>
        <w:numPr>
          <w:ilvl w:val="0"/>
          <w:numId w:val="36"/>
        </w:numPr>
        <w:spacing w:after="90" w:line="272" w:lineRule="auto"/>
      </w:pPr>
      <w:r>
        <w:rPr>
          <w:b/>
          <w:bCs/>
        </w:rPr>
        <w:t>Attacks by Attack Type (donut)</w:t>
      </w:r>
      <w:r>
        <w:t xml:space="preserve"> </w:t>
      </w:r>
      <w:r w:rsidR="00EC5B23">
        <w:t>-</w:t>
      </w:r>
      <w:r>
        <w:t xml:space="preserve"> a donut chart that breaks the total event count into the three attack categories </w:t>
      </w:r>
      <w:r w:rsidR="00EC5B23">
        <w:t>-</w:t>
      </w:r>
      <w:r>
        <w:t xml:space="preserve"> DDoS, Malware and Intrusion </w:t>
      </w:r>
      <w:r w:rsidR="00EC5B23">
        <w:t>-</w:t>
      </w:r>
      <w:r>
        <w:t xml:space="preserve"> with each arc sized by its count and the running total shown in the centre. Because the three categories come out broadly balanced in this dataset, the donut's core message is the absence of a single dominant threat: defensive effort has to be spread across all three rather than concentrated on one. The legend and data labels let the reader convert the arcs into approximate shares without leaving the visual.</w:t>
      </w:r>
    </w:p>
    <w:p w:rsidR="00AD5D78" w:rsidRDefault="00AD5D78" w:rsidP="00AD5D78">
      <w:pPr>
        <w:pStyle w:val="ListParagraph"/>
        <w:numPr>
          <w:ilvl w:val="0"/>
          <w:numId w:val="36"/>
        </w:numPr>
        <w:spacing w:after="90" w:line="272" w:lineRule="auto"/>
      </w:pPr>
      <w:r>
        <w:rPr>
          <w:b/>
          <w:bCs/>
        </w:rPr>
        <w:t>Action Taken over Attacks (pie)</w:t>
      </w:r>
      <w:r>
        <w:t xml:space="preserve"> </w:t>
      </w:r>
      <w:r w:rsidR="00EC5B23">
        <w:t>-</w:t>
      </w:r>
      <w:r>
        <w:t xml:space="preserve"> a pie chart that slices the Total Attacks measure by the Action Taken field </w:t>
      </w:r>
      <w:r w:rsidR="00EC5B23">
        <w:t>-</w:t>
      </w:r>
      <w:r>
        <w:t xml:space="preserve"> the response each event received, such as Blocked, Logged or Ignored. Where the attack-type donut describes the threat, this describes the response, so together they show not only what is arriving but how the environment is reacting to it. A large Ignored or Logged-only slice relative to Blocked is worth attention, because it points to activity that passed through without active intervention.</w:t>
      </w:r>
    </w:p>
    <w:p w:rsidR="00AD5D78" w:rsidRDefault="00AD5D78" w:rsidP="00AD5D78">
      <w:pPr>
        <w:pStyle w:val="ListParagraph"/>
        <w:numPr>
          <w:ilvl w:val="0"/>
          <w:numId w:val="36"/>
        </w:numPr>
        <w:spacing w:after="90" w:line="272" w:lineRule="auto"/>
      </w:pPr>
      <w:r>
        <w:rPr>
          <w:b/>
          <w:bCs/>
        </w:rPr>
        <w:t>Severity by Attack Type (stacked column)</w:t>
      </w:r>
      <w:r>
        <w:t xml:space="preserve"> </w:t>
      </w:r>
      <w:r w:rsidR="00EC5B23">
        <w:t>-</w:t>
      </w:r>
      <w:r>
        <w:t xml:space="preserve"> a stacked column chart with one column per attack type (DDoS, Malware, Intrusion), each column divided into Low, Medium and High severity segments and sized by event count. Reading across the columns shows whether the three attack types carry comparable total volume; reading the coloured segments within each column shows how the severity mix differs between them. Its value is prioritisation </w:t>
      </w:r>
      <w:r w:rsidR="00EC5B23">
        <w:t>-</w:t>
      </w:r>
      <w:r>
        <w:t xml:space="preserve"> an attack type with a visibly larger High-severity segment is a stronger candidate for </w:t>
      </w:r>
      <w:r>
        <w:lastRenderedPageBreak/>
        <w:t>fast response than one dominated by Low-severity events, even at similar totals. The Severity Sort helper column from Section 3 is what keeps Low, Medium and High in logical order here rather than alphabetical.</w:t>
      </w:r>
    </w:p>
    <w:p w:rsidR="00AD5D78" w:rsidRDefault="00AD5D78" w:rsidP="00AD5D78">
      <w:pPr>
        <w:pStyle w:val="ListParagraph"/>
        <w:numPr>
          <w:ilvl w:val="0"/>
          <w:numId w:val="36"/>
        </w:numPr>
        <w:spacing w:after="90" w:line="272" w:lineRule="auto"/>
      </w:pPr>
      <w:r>
        <w:rPr>
          <w:b/>
          <w:bCs/>
        </w:rPr>
        <w:t>Traffic Breakdown (clustered bar)</w:t>
      </w:r>
      <w:r>
        <w:t xml:space="preserve"> </w:t>
      </w:r>
      <w:r w:rsidR="00EC5B23">
        <w:t>-</w:t>
      </w:r>
      <w:r>
        <w:t xml:space="preserve"> a clustered bar chart that groups the data by Traffic Type and, within each group, places a separate bar for each Protocol </w:t>
      </w:r>
      <w:r w:rsidR="00EC5B23">
        <w:t>-</w:t>
      </w:r>
      <w:r>
        <w:t xml:space="preserve"> TCP, UDP and ICMP </w:t>
      </w:r>
      <w:r w:rsidR="00EC5B23">
        <w:t>-</w:t>
      </w:r>
      <w:r>
        <w:t xml:space="preserve"> sized by event count. Clustering rather than stacking makes the protocols directly comparable inside every traffic category, so the reader can see at a glance which protocol carries the most traffic in each. This is operationally useful because monitoring and filtering rules are written per protocol: knowing whether attack traffic concentrates in TCP versus UDP or ICMP tells the team where packet inspection and rate-limiting will have the most effect.</w:t>
      </w:r>
    </w:p>
    <w:p w:rsidR="00AD5D78" w:rsidRDefault="00AD5D78" w:rsidP="00AD5D78">
      <w:pPr>
        <w:pStyle w:val="ListParagraph"/>
        <w:numPr>
          <w:ilvl w:val="0"/>
          <w:numId w:val="36"/>
        </w:numPr>
        <w:spacing w:after="90" w:line="272" w:lineRule="auto"/>
      </w:pPr>
      <w:r>
        <w:rPr>
          <w:b/>
          <w:bCs/>
        </w:rPr>
        <w:t>Attacks over Time (line)</w:t>
      </w:r>
      <w:r>
        <w:t xml:space="preserve"> </w:t>
      </w:r>
      <w:r w:rsidR="00EC5B23">
        <w:t>-</w:t>
      </w:r>
      <w:r>
        <w:t xml:space="preserve"> a line chart running along the bottom of the dashboard that plots the Total Attacks measure against the Year level of the Date hierarchy built in Section 3, covering 2020 to 2023. It converts the otherwise static snapshot into a trend, answering whether the volume of recorded attacks is climbing, falling or holding steady year on year. Because it uses the same Date hierarchy that drives the slicers on Dashboard 2, an analyst can move from a year that looks unusual here to that same period on the anomaly dashboard to investigate why.</w:t>
      </w:r>
    </w:p>
    <w:p w:rsidR="00AD5D78" w:rsidRDefault="00AD5D78" w:rsidP="00AD5D78">
      <w:pPr>
        <w:pStyle w:val="Heading1"/>
        <w:spacing w:before="280" w:after="120"/>
      </w:pPr>
      <w:r>
        <w:t xml:space="preserve">5.  Dashboard 2 </w:t>
      </w:r>
      <w:r w:rsidR="00EC5B23">
        <w:t>-</w:t>
      </w:r>
      <w:r>
        <w:t xml:space="preserve"> Threat Detection and Anomaly Analysis</w:t>
      </w:r>
    </w:p>
    <w:p w:rsidR="00AD5D78" w:rsidRDefault="00AD5D78" w:rsidP="00AD5D78">
      <w:pPr>
        <w:spacing w:after="140" w:line="276" w:lineRule="auto"/>
        <w:jc w:val="both"/>
      </w:pPr>
      <w:r>
        <w:t>The second dashboard is an interactive investigation view. It centres on anomaly behaviour and lets the analyst slice the whole picture by date, geography, severity, protocol and attack type. A navigation button returns the user to the first dashboard, so the two operate as a linked pair. Its visuals are:</w:t>
      </w:r>
    </w:p>
    <w:p w:rsidR="00AD5D78" w:rsidRDefault="00AD5D78" w:rsidP="00AD5D78">
      <w:pPr>
        <w:pStyle w:val="Heading2"/>
        <w:spacing w:before="180" w:after="80"/>
      </w:pPr>
      <w:r>
        <w:t>5.1 Analytical visuals</w:t>
      </w:r>
    </w:p>
    <w:p w:rsidR="00AD5D78" w:rsidRDefault="00AD5D78" w:rsidP="00AD5D78">
      <w:pPr>
        <w:pStyle w:val="ListParagraph"/>
        <w:numPr>
          <w:ilvl w:val="0"/>
          <w:numId w:val="36"/>
        </w:numPr>
        <w:spacing w:after="90" w:line="272" w:lineRule="auto"/>
      </w:pPr>
      <w:r>
        <w:rPr>
          <w:b/>
          <w:bCs/>
        </w:rPr>
        <w:t>Anomaly Score Band (donut)</w:t>
      </w:r>
      <w:r>
        <w:t xml:space="preserve"> </w:t>
      </w:r>
      <w:r w:rsidR="00EC5B23">
        <w:t>-</w:t>
      </w:r>
      <w:r>
        <w:t xml:space="preserve"> the centrepiece of the dashboard: a donut that takes the Anomaly Score Band calculated column from Section 3 </w:t>
      </w:r>
      <w:r w:rsidR="00EC5B23">
        <w:t>-</w:t>
      </w:r>
      <w:r>
        <w:t xml:space="preserve"> which buckets the raw 0–100 anomaly scores into 0–25, 26–50, 51–75 and 76–100 </w:t>
      </w:r>
      <w:r w:rsidR="00EC5B23">
        <w:t>-</w:t>
      </w:r>
      <w:r>
        <w:t xml:space="preserve"> and sizes each arc by the summed anomaly score falling in that band. Turning a continuous score into four tiers lets an analyst read anomaly behaviour as clear severity bands rather than raw numbers, and the top band (76–100) is the one that matters most: it isolates the small pool of highly unusual, likely-suspicious events that warrant investigation first. Every slicer on the page reshapes this donut, so it also shows the anomaly profile of whatever subset the analyst has filtered to.</w:t>
      </w:r>
    </w:p>
    <w:p w:rsidR="00AD5D78" w:rsidRDefault="00AD5D78" w:rsidP="00AD5D78">
      <w:pPr>
        <w:pStyle w:val="ListParagraph"/>
        <w:numPr>
          <w:ilvl w:val="0"/>
          <w:numId w:val="36"/>
        </w:numPr>
        <w:spacing w:after="90" w:line="272" w:lineRule="auto"/>
      </w:pPr>
      <w:r>
        <w:rPr>
          <w:b/>
          <w:bCs/>
        </w:rPr>
        <w:t>Average Anomaly Score (gauge)</w:t>
      </w:r>
      <w:r>
        <w:t xml:space="preserve"> </w:t>
      </w:r>
      <w:r w:rsidR="00EC5B23">
        <w:t>-</w:t>
      </w:r>
      <w:r>
        <w:t xml:space="preserve"> a gauge that summarises the average anomaly score across the currently selected events into a single needle position, giving a quick read of how unusual the slice is overall to sit alongside the banded donut. Where the donut shows the distribution across tiers, the gauge collapses it to one representative number, which is most useful in combination with the slicers: filtering to a particular city, protocol or attack type and watching the needle move shows whether that subset runs more or less anomalous than the baseline. A needle sitting high on the gauge is an early signal that the current selection is dominated by out-of-pattern activity.</w:t>
      </w:r>
    </w:p>
    <w:p w:rsidR="00AD5D78" w:rsidRDefault="00AD5D78" w:rsidP="00AD5D78">
      <w:pPr>
        <w:pStyle w:val="ListParagraph"/>
        <w:numPr>
          <w:ilvl w:val="0"/>
          <w:numId w:val="36"/>
        </w:numPr>
        <w:spacing w:after="90" w:line="272" w:lineRule="auto"/>
      </w:pPr>
      <w:r>
        <w:rPr>
          <w:b/>
          <w:bCs/>
        </w:rPr>
        <w:t>Attacks by Browser (bar chart)</w:t>
      </w:r>
      <w:r>
        <w:t xml:space="preserve"> </w:t>
      </w:r>
      <w:r w:rsidR="00EC5B23">
        <w:t>-</w:t>
      </w:r>
      <w:r>
        <w:t xml:space="preserve"> a bar chart that ranks the Browser (user-agent) values </w:t>
      </w:r>
      <w:r w:rsidR="00EC5B23">
        <w:t>-</w:t>
      </w:r>
      <w:r>
        <w:t xml:space="preserve"> for example Mozilla, Opera and Chrome </w:t>
      </w:r>
      <w:r w:rsidR="00EC5B23">
        <w:t>-</w:t>
      </w:r>
      <w:r>
        <w:t xml:space="preserve"> by the Total Attacks measure, with one bar per browser so the longest bar names the most-seen client. Presenting it as bars rather than a donut makes the ranking explicit and the differences between clients easy to compare directly. It adds client-side context to an investigation: once the anomaly bands and slicers have narrowed the picture, the browser breakdown helps characterise what kind of client the suspicious activity is coming through, which can support attribution and pattern-matching.</w:t>
      </w:r>
    </w:p>
    <w:p w:rsidR="00AD5D78" w:rsidRDefault="00AD5D78" w:rsidP="00AD5D78">
      <w:pPr>
        <w:pStyle w:val="ListParagraph"/>
        <w:numPr>
          <w:ilvl w:val="0"/>
          <w:numId w:val="36"/>
        </w:numPr>
        <w:spacing w:after="90" w:line="272" w:lineRule="auto"/>
      </w:pPr>
      <w:r>
        <w:rPr>
          <w:b/>
          <w:bCs/>
        </w:rPr>
        <w:t>Attacks by State (area)</w:t>
      </w:r>
      <w:r>
        <w:t xml:space="preserve"> </w:t>
      </w:r>
      <w:r w:rsidR="00EC5B23">
        <w:t>-</w:t>
      </w:r>
      <w:r>
        <w:t xml:space="preserve"> a wide area chart along the foot of the dashboard that plots the Total Attacks measure across States, the filled area emphasising where volume rises and falls from one state to the next. It tells the same geographic story as the bubble map on Dashboard 1 but in a flat, easy-to-scan form that suits an analytical page and updates instantly as slicers are applied. Read together with the slicer panel, it lets the analyst confirm whether a filtered threat scenario is geographically concentrated or spread evenly across states.</w:t>
      </w:r>
    </w:p>
    <w:p w:rsidR="00AD5D78" w:rsidRDefault="00AD5D78" w:rsidP="00AD5D78">
      <w:pPr>
        <w:pStyle w:val="Heading2"/>
        <w:spacing w:before="180" w:after="80"/>
      </w:pPr>
      <w:r>
        <w:lastRenderedPageBreak/>
        <w:t>5.2 Interactivity</w:t>
      </w:r>
    </w:p>
    <w:p w:rsidR="00AD5D78" w:rsidRDefault="00AD5D78" w:rsidP="00AD5D78">
      <w:pPr>
        <w:pStyle w:val="ListParagraph"/>
        <w:numPr>
          <w:ilvl w:val="0"/>
          <w:numId w:val="36"/>
        </w:numPr>
        <w:spacing w:after="90" w:line="272" w:lineRule="auto"/>
      </w:pPr>
      <w:r>
        <w:rPr>
          <w:b/>
          <w:bCs/>
        </w:rPr>
        <w:t>Slicer panel</w:t>
      </w:r>
      <w:r>
        <w:t xml:space="preserve"> </w:t>
      </w:r>
      <w:r w:rsidR="00EC5B23">
        <w:t>-</w:t>
      </w:r>
      <w:r>
        <w:t xml:space="preserve"> a column of five slicers down the left edge </w:t>
      </w:r>
      <w:r w:rsidR="00EC5B23">
        <w:t>-</w:t>
      </w:r>
      <w:r>
        <w:t xml:space="preserve"> Date, City, Severity Level, Protocol and Attack Type </w:t>
      </w:r>
      <w:r w:rsidR="00EC5B23">
        <w:t>-</w:t>
      </w:r>
      <w:r>
        <w:t xml:space="preserve"> that filter every visual on the page at once. Because they act together, an analyst can compose a precise scenario (for example, High-severity Intrusion events on TCP in a chosen city over a set date range) and watch the donut, gauge, bar and area charts all recompute to describe just that subset. The Date slicer draws on the same Date hierarchy used by the time-trend line on Dashboard 1, and the City slicer pairs with the State area chart to move between fine and coarse geography.</w:t>
      </w:r>
    </w:p>
    <w:p w:rsidR="00AD5D78" w:rsidRDefault="00AD5D78" w:rsidP="00AD5D78">
      <w:pPr>
        <w:pStyle w:val="ListParagraph"/>
        <w:numPr>
          <w:ilvl w:val="0"/>
          <w:numId w:val="36"/>
        </w:numPr>
        <w:spacing w:after="90" w:line="272" w:lineRule="auto"/>
      </w:pPr>
      <w:r>
        <w:rPr>
          <w:b/>
          <w:bCs/>
        </w:rPr>
        <w:t>Cross-filtering</w:t>
      </w:r>
      <w:r>
        <w:t xml:space="preserve"> </w:t>
      </w:r>
      <w:r w:rsidR="00EC5B23">
        <w:t>-</w:t>
      </w:r>
      <w:r>
        <w:t xml:space="preserve"> beyond the slicers, the visuals cross-filter one another: clicking a segment in one chart filters the rest of the page to that selection. Selecting the 76–100 arc on the anomaly donut, a specific browser bar, or a state in the area chart immediately narrows every other visual to matching events, so an investigation can proceed by clicking rather than by manually setting slicers. This turns the page into an exploratory surface where each question </w:t>
      </w:r>
      <w:r w:rsidR="00EC5B23">
        <w:t>-</w:t>
      </w:r>
      <w:r>
        <w:t xml:space="preserve"> for instance, what the highly-anomalous slice looks like by browser and location </w:t>
      </w:r>
      <w:r w:rsidR="00EC5B23">
        <w:t>-</w:t>
      </w:r>
      <w:r>
        <w:t xml:space="preserve"> is one click away from an answer.</w:t>
      </w:r>
    </w:p>
    <w:p w:rsidR="00AD5D78" w:rsidRDefault="00AD5D78" w:rsidP="00AD5D78">
      <w:pPr>
        <w:pStyle w:val="ListParagraph"/>
        <w:numPr>
          <w:ilvl w:val="0"/>
          <w:numId w:val="36"/>
        </w:numPr>
        <w:spacing w:after="90" w:line="272" w:lineRule="auto"/>
      </w:pPr>
      <w:r>
        <w:rPr>
          <w:b/>
          <w:bCs/>
        </w:rPr>
        <w:t>Back navigation button</w:t>
      </w:r>
      <w:r>
        <w:t xml:space="preserve"> </w:t>
      </w:r>
      <w:r w:rsidR="00EC5B23">
        <w:t>-</w:t>
      </w:r>
      <w:r>
        <w:t xml:space="preserve"> an in-report button, placed at the top-left of the page, that navigates back to the Cyber Security Attacks Analysis dashboard. It makes the two pages behave as one connected experience rather than two separate files: an analyst who spots something in the high-level overview can jump into the anomaly explorer to dig in, then return to the overview without leaving the report. This linked-pair design is what lets the descriptive and investigative views operate as a single tool.</w:t>
      </w:r>
    </w:p>
    <w:p w:rsidR="002A7081" w:rsidRPr="00244B68" w:rsidRDefault="000A24F2">
      <w:pPr>
        <w:pStyle w:val="Heading1"/>
        <w:pBdr>
          <w:bottom w:val="single" w:sz="14" w:space="4" w:color="0F7FC4"/>
        </w:pBdr>
        <w:spacing w:before="300" w:after="130"/>
        <w:rPr>
          <w:rFonts w:ascii="Times New Roman" w:hAnsi="Times New Roman" w:cs="Times New Roman"/>
        </w:rPr>
      </w:pPr>
      <w:r>
        <w:rPr>
          <w:rFonts w:ascii="Times New Roman" w:hAnsi="Times New Roman" w:cs="Times New Roman"/>
        </w:rPr>
        <w:t>5b. Project Execution Details</w:t>
      </w:r>
    </w:p>
    <w:p w:rsidR="002A7081" w:rsidRPr="00244B68" w:rsidRDefault="000A24F2">
      <w:pPr>
        <w:spacing w:after="130" w:line="276" w:lineRule="auto"/>
        <w:jc w:val="both"/>
        <w:rPr>
          <w:rFonts w:ascii="Times New Roman" w:hAnsi="Times New Roman" w:cs="Times New Roman"/>
        </w:rPr>
      </w:pPr>
      <w:r>
        <w:rPr>
          <w:rFonts w:ascii="Times New Roman" w:hAnsi="Times New Roman" w:cs="Times New Roman"/>
        </w:rPr>
        <w:t>This section details how the framework was executed end-to-end. The project followed a structured nine-stage Power BI workflow, after which each of the seven dashboards was assembled, formatted and validated. The workflow below summarises the pipeline from problem definition to publishing.</w:t>
      </w:r>
    </w:p>
    <w:p w:rsidR="0047794D" w:rsidRDefault="00D1759E" w:rsidP="0047794D">
      <w:pPr>
        <w:pStyle w:val="Heading2"/>
        <w:spacing w:before="200" w:after="80"/>
        <w:rPr>
          <w:rFonts w:ascii="Times New Roman" w:hAnsi="Times New Roman" w:cs="Times New Roman"/>
          <w:noProof/>
          <w:color w:val="000000" w:themeColor="text1"/>
        </w:rPr>
      </w:pPr>
      <w:r>
        <w:rPr>
          <w:rFonts w:ascii="Times New Roman" w:hAnsi="Times New Roman" w:cs="Times New Roman"/>
          <w:noProof/>
          <w:color w:val="000000" w:themeColor="text1"/>
        </w:rPr>
        <w:drawing>
          <wp:anchor distT="0" distB="0" distL="114300" distR="114300" simplePos="0" relativeHeight="251659264" behindDoc="1" locked="0" layoutInCell="1" allowOverlap="1" wp14:anchorId="7748A40C" wp14:editId="794A3220">
            <wp:simplePos x="0" y="0"/>
            <wp:positionH relativeFrom="margin">
              <wp:align>center</wp:align>
            </wp:positionH>
            <wp:positionV relativeFrom="margin">
              <wp:posOffset>5173980</wp:posOffset>
            </wp:positionV>
            <wp:extent cx="2623820" cy="3444240"/>
            <wp:effectExtent l="0" t="0" r="5080" b="3810"/>
            <wp:wrapTopAndBottom/>
            <wp:docPr id="1672741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741323" name=""/>
                    <pic:cNvPicPr/>
                  </pic:nvPicPr>
                  <pic:blipFill rotWithShape="1">
                    <a:blip r:embed="rId8">
                      <a:extLst>
                        <a:ext uri="{28A0092B-C50C-407E-A947-70E740481C1C}">
                          <a14:useLocalDpi xmlns:a14="http://schemas.microsoft.com/office/drawing/2010/main" val="0"/>
                        </a:ext>
                      </a:extLst>
                    </a:blip>
                    <a:srcRect t="15007" b="3633"/>
                    <a:stretch>
                      <a:fillRect/>
                    </a:stretch>
                  </pic:blipFill>
                  <pic:spPr bwMode="auto">
                    <a:xfrm>
                      <a:off x="0" y="0"/>
                      <a:ext cx="2623820" cy="34442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7794D">
        <w:rPr>
          <w:rFonts w:ascii="Times New Roman" w:hAnsi="Times New Roman" w:cs="Times New Roman"/>
        </w:rPr>
        <w:t>Execution Workflow</w:t>
      </w:r>
    </w:p>
    <w:p w:rsidR="0047794D" w:rsidRDefault="0047794D" w:rsidP="0047794D">
      <w:pPr>
        <w:pStyle w:val="Heading2"/>
        <w:spacing w:before="200" w:after="80"/>
        <w:rPr>
          <w:rFonts w:ascii="Times New Roman" w:hAnsi="Times New Roman" w:cs="Times New Roman"/>
          <w:noProof/>
          <w:color w:val="000000" w:themeColor="text1"/>
        </w:rPr>
      </w:pPr>
      <w:r>
        <w:rPr>
          <w:rFonts w:ascii="Times New Roman" w:hAnsi="Times New Roman" w:cs="Times New Roman"/>
          <w:noProof/>
          <w:color w:val="000000" w:themeColor="text1"/>
        </w:rPr>
        <w:t xml:space="preserve">  </w:t>
      </w:r>
    </w:p>
    <w:p w:rsidR="0047794D" w:rsidRPr="00244B68" w:rsidRDefault="0047794D" w:rsidP="00D1759E">
      <w:pPr>
        <w:spacing w:before="40" w:after="200"/>
        <w:jc w:val="center"/>
        <w:rPr>
          <w:rFonts w:ascii="Times New Roman" w:hAnsi="Times New Roman" w:cs="Times New Roman"/>
        </w:rPr>
      </w:pPr>
      <w:r>
        <w:rPr>
          <w:rFonts w:ascii="Times New Roman" w:hAnsi="Times New Roman" w:cs="Times New Roman"/>
          <w:i/>
          <w:iCs/>
          <w:color w:val="5B6B7B"/>
          <w:sz w:val="18"/>
          <w:szCs w:val="18"/>
        </w:rPr>
        <w:t xml:space="preserve">Figure 1 </w:t>
      </w:r>
      <w:r w:rsidR="002B0252">
        <w:rPr>
          <w:rFonts w:ascii="Times New Roman" w:hAnsi="Times New Roman" w:cs="Times New Roman"/>
          <w:i/>
          <w:iCs/>
          <w:color w:val="5B6B7B"/>
          <w:sz w:val="18"/>
          <w:szCs w:val="18"/>
        </w:rPr>
        <w:t>-</w:t>
      </w:r>
      <w:r>
        <w:rPr>
          <w:rFonts w:ascii="Times New Roman" w:hAnsi="Times New Roman" w:cs="Times New Roman"/>
          <w:i/>
          <w:iCs/>
          <w:color w:val="5B6B7B"/>
          <w:sz w:val="18"/>
          <w:szCs w:val="18"/>
        </w:rPr>
        <w:t xml:space="preserve"> End-to-end Power BI execution workflow (nine stages).</w:t>
      </w:r>
    </w:p>
    <w:p w:rsidR="00132765" w:rsidRDefault="00132765" w:rsidP="00D1759E">
      <w:pPr>
        <w:spacing w:after="110" w:line="276" w:lineRule="auto"/>
        <w:jc w:val="center"/>
        <w:rPr>
          <w:rFonts w:ascii="Times New Roman" w:hAnsi="Times New Roman" w:cs="Times New Roman"/>
          <w:b/>
          <w:bCs/>
          <w:color w:val="0B639C"/>
        </w:rPr>
      </w:pPr>
    </w:p>
    <w:p w:rsidR="002A7081" w:rsidRPr="00244B68" w:rsidRDefault="000A24F2">
      <w:pPr>
        <w:spacing w:after="110" w:line="276" w:lineRule="auto"/>
        <w:jc w:val="both"/>
        <w:rPr>
          <w:rFonts w:ascii="Times New Roman" w:hAnsi="Times New Roman" w:cs="Times New Roman"/>
        </w:rPr>
      </w:pPr>
      <w:r>
        <w:rPr>
          <w:rFonts w:ascii="Times New Roman" w:hAnsi="Times New Roman" w:cs="Times New Roman"/>
          <w:b/>
          <w:bCs/>
          <w:color w:val="0B639C"/>
        </w:rPr>
        <w:t xml:space="preserve">Step 1 </w:t>
      </w:r>
      <w:r w:rsidR="002B0252">
        <w:rPr>
          <w:rFonts w:ascii="Times New Roman" w:hAnsi="Times New Roman" w:cs="Times New Roman"/>
          <w:b/>
          <w:bCs/>
          <w:color w:val="0B639C"/>
        </w:rPr>
        <w:t>-</w:t>
      </w:r>
      <w:r>
        <w:rPr>
          <w:rFonts w:ascii="Times New Roman" w:hAnsi="Times New Roman" w:cs="Times New Roman"/>
          <w:b/>
          <w:bCs/>
          <w:color w:val="0B639C"/>
        </w:rPr>
        <w:t xml:space="preserve"> Problem Definition &amp; Requirement Understanding. </w:t>
      </w:r>
      <w:r>
        <w:rPr>
          <w:rFonts w:ascii="Times New Roman" w:hAnsi="Times New Roman" w:cs="Times New Roman"/>
        </w:rPr>
        <w:t xml:space="preserve">We began by framing the core security questions the framework needed to answer </w:t>
      </w:r>
      <w:r w:rsidR="002B0252">
        <w:rPr>
          <w:rFonts w:ascii="Times New Roman" w:hAnsi="Times New Roman" w:cs="Times New Roman"/>
        </w:rPr>
        <w:t>-</w:t>
      </w:r>
      <w:r>
        <w:rPr>
          <w:rFonts w:ascii="Times New Roman" w:hAnsi="Times New Roman" w:cs="Times New Roman"/>
        </w:rPr>
        <w:t xml:space="preserve"> how many attacks occur, of what type and severity, how the network and users behave, and how effectively threats are handled. From these questions we defined the KPIs (total attacks, high-severity share, block rate, average anomaly score, malware detections) and identified the target audience.</w:t>
      </w:r>
    </w:p>
    <w:p w:rsidR="002A7081" w:rsidRPr="00244B68" w:rsidRDefault="000A24F2">
      <w:pPr>
        <w:spacing w:after="110" w:line="276" w:lineRule="auto"/>
        <w:jc w:val="both"/>
        <w:rPr>
          <w:rFonts w:ascii="Times New Roman" w:hAnsi="Times New Roman" w:cs="Times New Roman"/>
        </w:rPr>
      </w:pPr>
      <w:r>
        <w:rPr>
          <w:rFonts w:ascii="Times New Roman" w:hAnsi="Times New Roman" w:cs="Times New Roman"/>
          <w:b/>
          <w:bCs/>
          <w:color w:val="0B639C"/>
        </w:rPr>
        <w:t xml:space="preserve">Step 2 </w:t>
      </w:r>
      <w:r w:rsidR="002B0252">
        <w:rPr>
          <w:rFonts w:ascii="Times New Roman" w:hAnsi="Times New Roman" w:cs="Times New Roman"/>
          <w:b/>
          <w:bCs/>
          <w:color w:val="0B639C"/>
        </w:rPr>
        <w:t>-</w:t>
      </w:r>
      <w:r>
        <w:rPr>
          <w:rFonts w:ascii="Times New Roman" w:hAnsi="Times New Roman" w:cs="Times New Roman"/>
          <w:b/>
          <w:bCs/>
          <w:color w:val="0B639C"/>
        </w:rPr>
        <w:t xml:space="preserve"> Data Collection. </w:t>
      </w:r>
      <w:r>
        <w:rPr>
          <w:rFonts w:ascii="Times New Roman" w:hAnsi="Times New Roman" w:cs="Times New Roman"/>
        </w:rPr>
        <w:t xml:space="preserve">A publicly available cybersecurity dataset of 40,000 incident records was sourced from Kaggle. It was chosen for its breadth </w:t>
      </w:r>
      <w:r w:rsidR="002B0252">
        <w:rPr>
          <w:rFonts w:ascii="Times New Roman" w:hAnsi="Times New Roman" w:cs="Times New Roman"/>
        </w:rPr>
        <w:t>-</w:t>
      </w:r>
      <w:r>
        <w:rPr>
          <w:rFonts w:ascii="Times New Roman" w:hAnsi="Times New Roman" w:cs="Times New Roman"/>
        </w:rPr>
        <w:t xml:space="preserve"> over thirty attributes per event covering network, threat, user and geographic dimensions </w:t>
      </w:r>
      <w:r w:rsidR="002B0252">
        <w:rPr>
          <w:rFonts w:ascii="Times New Roman" w:hAnsi="Times New Roman" w:cs="Times New Roman"/>
        </w:rPr>
        <w:t>-</w:t>
      </w:r>
      <w:r>
        <w:rPr>
          <w:rFonts w:ascii="Times New Roman" w:hAnsi="Times New Roman" w:cs="Times New Roman"/>
        </w:rPr>
        <w:t xml:space="preserve"> making it well-suited to a multi-dashboard analytical framework.</w:t>
      </w:r>
    </w:p>
    <w:p w:rsidR="002A7081" w:rsidRDefault="000A24F2" w:rsidP="004E216D">
      <w:pPr>
        <w:spacing w:after="110" w:line="276" w:lineRule="auto"/>
        <w:jc w:val="both"/>
        <w:rPr>
          <w:rFonts w:ascii="Times New Roman" w:hAnsi="Times New Roman" w:cs="Times New Roman"/>
        </w:rPr>
      </w:pPr>
      <w:r>
        <w:rPr>
          <w:rFonts w:ascii="Times New Roman" w:hAnsi="Times New Roman" w:cs="Times New Roman"/>
          <w:b/>
          <w:bCs/>
          <w:color w:val="0B639C"/>
        </w:rPr>
        <w:t xml:space="preserve">Step 3 </w:t>
      </w:r>
      <w:r w:rsidR="002B0252">
        <w:rPr>
          <w:rFonts w:ascii="Times New Roman" w:hAnsi="Times New Roman" w:cs="Times New Roman"/>
          <w:b/>
          <w:bCs/>
          <w:color w:val="0B639C"/>
        </w:rPr>
        <w:t>-</w:t>
      </w:r>
      <w:r>
        <w:rPr>
          <w:rFonts w:ascii="Times New Roman" w:hAnsi="Times New Roman" w:cs="Times New Roman"/>
          <w:b/>
          <w:bCs/>
          <w:color w:val="0B639C"/>
        </w:rPr>
        <w:t xml:space="preserve"> Data Cleaning &amp; Preprocessing. </w:t>
      </w:r>
      <w:r>
        <w:rPr>
          <w:rFonts w:ascii="Times New Roman" w:hAnsi="Times New Roman" w:cs="Times New Roman"/>
        </w:rPr>
        <w:t xml:space="preserve">Using the Power Query Editor, the raw data was cleaned and shaped through nineteen individual transformation </w:t>
      </w:r>
      <w:r w:rsidR="004E216D">
        <w:rPr>
          <w:rFonts w:ascii="Times New Roman" w:hAnsi="Times New Roman" w:cs="Times New Roman"/>
        </w:rPr>
        <w:t>steps, grouped below into eleven</w:t>
      </w:r>
      <w:r>
        <w:rPr>
          <w:rFonts w:ascii="Times New Roman" w:hAnsi="Times New Roman" w:cs="Times New Roman"/>
        </w:rPr>
        <w:t xml:space="preserve"> logical stages, so that the dataset was fully analysis-ready before modeling began.</w:t>
      </w:r>
    </w:p>
    <w:p w:rsidR="002A7081" w:rsidRDefault="004E216D">
      <w:pPr>
        <w:spacing w:after="80" w:line="264" w:lineRule="auto"/>
        <w:jc w:val="both"/>
        <w:rPr>
          <w:rFonts w:ascii="Times New Roman" w:hAnsi="Times New Roman" w:cs="Times New Roman"/>
        </w:rPr>
      </w:pPr>
      <w:r>
        <w:rPr>
          <w:rFonts w:ascii="Times New Roman" w:hAnsi="Times New Roman" w:cs="Times New Roman"/>
          <w:b/>
          <w:bCs/>
        </w:rPr>
        <w:t>1</w:t>
      </w:r>
      <w:r w:rsidR="002A7081">
        <w:rPr>
          <w:rFonts w:ascii="Times New Roman" w:hAnsi="Times New Roman" w:cs="Times New Roman"/>
          <w:b/>
          <w:bCs/>
        </w:rPr>
        <w:t xml:space="preserve">. Removed Duplicate Records </w:t>
      </w:r>
      <w:r w:rsidR="002B0252">
        <w:rPr>
          <w:rFonts w:ascii="Times New Roman" w:hAnsi="Times New Roman" w:cs="Times New Roman"/>
          <w:b/>
          <w:bCs/>
        </w:rPr>
        <w:t>-</w:t>
      </w:r>
      <w:r w:rsidR="002A7081">
        <w:rPr>
          <w:rFonts w:ascii="Times New Roman" w:hAnsi="Times New Roman" w:cs="Times New Roman"/>
          <w:b/>
          <w:bCs/>
        </w:rPr>
        <w:t xml:space="preserve"> </w:t>
      </w:r>
      <w:r w:rsidR="002A7081">
        <w:rPr>
          <w:rFonts w:ascii="Times New Roman" w:hAnsi="Times New Roman" w:cs="Times New Roman"/>
        </w:rPr>
        <w:t>removed duplicate rows to eliminate redundant data and improve data accuracy.</w:t>
      </w:r>
    </w:p>
    <w:p w:rsidR="002A7081" w:rsidRDefault="004E216D">
      <w:pPr>
        <w:spacing w:after="80" w:line="264" w:lineRule="auto"/>
        <w:jc w:val="both"/>
        <w:rPr>
          <w:rFonts w:ascii="Times New Roman" w:hAnsi="Times New Roman" w:cs="Times New Roman"/>
        </w:rPr>
      </w:pPr>
      <w:r>
        <w:rPr>
          <w:rFonts w:ascii="Times New Roman" w:hAnsi="Times New Roman" w:cs="Times New Roman"/>
          <w:b/>
          <w:bCs/>
        </w:rPr>
        <w:t>2</w:t>
      </w:r>
      <w:r w:rsidR="002A7081">
        <w:rPr>
          <w:rFonts w:ascii="Times New Roman" w:hAnsi="Times New Roman" w:cs="Times New Roman"/>
          <w:b/>
          <w:bCs/>
        </w:rPr>
        <w:t xml:space="preserve">. Changed Timestamp Data Type </w:t>
      </w:r>
      <w:r w:rsidR="002B0252">
        <w:rPr>
          <w:rFonts w:ascii="Times New Roman" w:hAnsi="Times New Roman" w:cs="Times New Roman"/>
          <w:b/>
          <w:bCs/>
        </w:rPr>
        <w:t>-</w:t>
      </w:r>
      <w:r w:rsidR="002A7081">
        <w:rPr>
          <w:rFonts w:ascii="Times New Roman" w:hAnsi="Times New Roman" w:cs="Times New Roman"/>
          <w:b/>
          <w:bCs/>
        </w:rPr>
        <w:t xml:space="preserve"> </w:t>
      </w:r>
      <w:r w:rsidR="002A7081">
        <w:rPr>
          <w:rFonts w:ascii="Times New Roman" w:hAnsi="Times New Roman" w:cs="Times New Roman"/>
        </w:rPr>
        <w:t>converted the Timestamp column from Text to Date/Time format for time-based analysis.</w:t>
      </w:r>
    </w:p>
    <w:p w:rsidR="002A7081" w:rsidRDefault="004E216D">
      <w:pPr>
        <w:spacing w:after="80" w:line="264" w:lineRule="auto"/>
        <w:jc w:val="both"/>
        <w:rPr>
          <w:rFonts w:ascii="Times New Roman" w:hAnsi="Times New Roman" w:cs="Times New Roman"/>
        </w:rPr>
      </w:pPr>
      <w:r>
        <w:rPr>
          <w:rFonts w:ascii="Times New Roman" w:hAnsi="Times New Roman" w:cs="Times New Roman"/>
          <w:b/>
          <w:bCs/>
        </w:rPr>
        <w:t>3</w:t>
      </w:r>
      <w:r w:rsidR="002A7081">
        <w:rPr>
          <w:rFonts w:ascii="Times New Roman" w:hAnsi="Times New Roman" w:cs="Times New Roman"/>
          <w:b/>
          <w:bCs/>
        </w:rPr>
        <w:t xml:space="preserve">. Created Date, Hour &amp; Day Columns </w:t>
      </w:r>
      <w:r w:rsidR="002B0252">
        <w:rPr>
          <w:rFonts w:ascii="Times New Roman" w:hAnsi="Times New Roman" w:cs="Times New Roman"/>
          <w:b/>
          <w:bCs/>
        </w:rPr>
        <w:t>-</w:t>
      </w:r>
      <w:r w:rsidR="002A7081">
        <w:rPr>
          <w:rFonts w:ascii="Times New Roman" w:hAnsi="Times New Roman" w:cs="Times New Roman"/>
          <w:b/>
          <w:bCs/>
        </w:rPr>
        <w:t xml:space="preserve"> </w:t>
      </w:r>
      <w:r w:rsidR="002A7081">
        <w:rPr>
          <w:rFonts w:ascii="Times New Roman" w:hAnsi="Times New Roman" w:cs="Times New Roman"/>
        </w:rPr>
        <w:t>extracted Date, Hour, and Day Name from the Timestamp column for trend analysis.</w:t>
      </w:r>
    </w:p>
    <w:p w:rsidR="002A7081" w:rsidRDefault="004E216D">
      <w:pPr>
        <w:spacing w:after="80" w:line="264" w:lineRule="auto"/>
        <w:jc w:val="both"/>
        <w:rPr>
          <w:rFonts w:ascii="Times New Roman" w:hAnsi="Times New Roman" w:cs="Times New Roman"/>
        </w:rPr>
      </w:pPr>
      <w:r>
        <w:rPr>
          <w:rFonts w:ascii="Times New Roman" w:hAnsi="Times New Roman" w:cs="Times New Roman"/>
          <w:b/>
          <w:bCs/>
        </w:rPr>
        <w:t>4</w:t>
      </w:r>
      <w:r w:rsidR="002A7081">
        <w:rPr>
          <w:rFonts w:ascii="Times New Roman" w:hAnsi="Times New Roman" w:cs="Times New Roman"/>
          <w:b/>
          <w:bCs/>
        </w:rPr>
        <w:t xml:space="preserve">. Handled Missing Values </w:t>
      </w:r>
      <w:r w:rsidR="002B0252">
        <w:rPr>
          <w:rFonts w:ascii="Times New Roman" w:hAnsi="Times New Roman" w:cs="Times New Roman"/>
          <w:b/>
          <w:bCs/>
        </w:rPr>
        <w:t xml:space="preserve">- </w:t>
      </w:r>
      <w:r w:rsidR="002A7081">
        <w:rPr>
          <w:rFonts w:ascii="Times New Roman" w:hAnsi="Times New Roman" w:cs="Times New Roman"/>
        </w:rPr>
        <w:t>replaced null values in Malware Indicators, Alerts/Warnings, Proxy Information, Firewall Logs, and IDS/IPS Alerts with "No".</w:t>
      </w:r>
    </w:p>
    <w:p w:rsidR="002A7081" w:rsidRDefault="004E216D">
      <w:pPr>
        <w:spacing w:after="80" w:line="264" w:lineRule="auto"/>
        <w:jc w:val="both"/>
        <w:rPr>
          <w:rFonts w:ascii="Times New Roman" w:hAnsi="Times New Roman" w:cs="Times New Roman"/>
        </w:rPr>
      </w:pPr>
      <w:r>
        <w:rPr>
          <w:rFonts w:ascii="Times New Roman" w:hAnsi="Times New Roman" w:cs="Times New Roman"/>
          <w:b/>
          <w:bCs/>
        </w:rPr>
        <w:t>5</w:t>
      </w:r>
      <w:r w:rsidR="002A7081">
        <w:rPr>
          <w:rFonts w:ascii="Times New Roman" w:hAnsi="Times New Roman" w:cs="Times New Roman"/>
          <w:b/>
          <w:bCs/>
        </w:rPr>
        <w:t xml:space="preserve">. Split Geo-location Column </w:t>
      </w:r>
      <w:r w:rsidR="002B0252">
        <w:rPr>
          <w:rFonts w:ascii="Times New Roman" w:hAnsi="Times New Roman" w:cs="Times New Roman"/>
          <w:b/>
          <w:bCs/>
        </w:rPr>
        <w:t>-</w:t>
      </w:r>
      <w:r w:rsidR="002A7081">
        <w:rPr>
          <w:rFonts w:ascii="Times New Roman" w:hAnsi="Times New Roman" w:cs="Times New Roman"/>
          <w:b/>
          <w:bCs/>
        </w:rPr>
        <w:t xml:space="preserve"> </w:t>
      </w:r>
      <w:r w:rsidR="002A7081">
        <w:rPr>
          <w:rFonts w:ascii="Times New Roman" w:hAnsi="Times New Roman" w:cs="Times New Roman"/>
        </w:rPr>
        <w:t>split the Geo-location column into two separate columns, City and State, using a comma delimiter.</w:t>
      </w:r>
    </w:p>
    <w:p w:rsidR="002A7081" w:rsidRDefault="004E216D">
      <w:pPr>
        <w:spacing w:after="80" w:line="264" w:lineRule="auto"/>
        <w:jc w:val="both"/>
        <w:rPr>
          <w:rFonts w:ascii="Times New Roman" w:hAnsi="Times New Roman" w:cs="Times New Roman"/>
        </w:rPr>
      </w:pPr>
      <w:r>
        <w:rPr>
          <w:rFonts w:ascii="Times New Roman" w:hAnsi="Times New Roman" w:cs="Times New Roman"/>
          <w:b/>
          <w:bCs/>
        </w:rPr>
        <w:t>6</w:t>
      </w:r>
      <w:r w:rsidR="002A7081">
        <w:rPr>
          <w:rFonts w:ascii="Times New Roman" w:hAnsi="Times New Roman" w:cs="Times New Roman"/>
          <w:b/>
          <w:bCs/>
        </w:rPr>
        <w:t xml:space="preserve">. Renamed Columns </w:t>
      </w:r>
      <w:r w:rsidR="002B0252">
        <w:rPr>
          <w:rFonts w:ascii="Times New Roman" w:hAnsi="Times New Roman" w:cs="Times New Roman"/>
          <w:b/>
          <w:bCs/>
        </w:rPr>
        <w:t>-</w:t>
      </w:r>
      <w:r w:rsidR="002A7081">
        <w:rPr>
          <w:rFonts w:ascii="Times New Roman" w:hAnsi="Times New Roman" w:cs="Times New Roman"/>
          <w:b/>
          <w:bCs/>
        </w:rPr>
        <w:t xml:space="preserve"> </w:t>
      </w:r>
      <w:r w:rsidR="002A7081">
        <w:rPr>
          <w:rFonts w:ascii="Times New Roman" w:hAnsi="Times New Roman" w:cs="Times New Roman"/>
        </w:rPr>
        <w:t>renamed the newly created columns to City and State for better readability and consistency.</w:t>
      </w:r>
    </w:p>
    <w:p w:rsidR="002A7081" w:rsidRDefault="004E216D">
      <w:pPr>
        <w:spacing w:after="80" w:line="264" w:lineRule="auto"/>
        <w:jc w:val="both"/>
        <w:rPr>
          <w:rFonts w:ascii="Times New Roman" w:hAnsi="Times New Roman" w:cs="Times New Roman"/>
        </w:rPr>
      </w:pPr>
      <w:r>
        <w:rPr>
          <w:rFonts w:ascii="Times New Roman" w:hAnsi="Times New Roman" w:cs="Times New Roman"/>
          <w:b/>
          <w:bCs/>
        </w:rPr>
        <w:t>7</w:t>
      </w:r>
      <w:r w:rsidR="002A7081">
        <w:rPr>
          <w:rFonts w:ascii="Times New Roman" w:hAnsi="Times New Roman" w:cs="Times New Roman"/>
          <w:b/>
          <w:bCs/>
        </w:rPr>
        <w:t xml:space="preserve">. Extracted Browser Information </w:t>
      </w:r>
      <w:r w:rsidR="002B0252">
        <w:rPr>
          <w:rFonts w:ascii="Times New Roman" w:hAnsi="Times New Roman" w:cs="Times New Roman"/>
          <w:b/>
          <w:bCs/>
        </w:rPr>
        <w:t>-</w:t>
      </w:r>
      <w:r w:rsidR="002A7081">
        <w:rPr>
          <w:rFonts w:ascii="Times New Roman" w:hAnsi="Times New Roman" w:cs="Times New Roman"/>
          <w:b/>
          <w:bCs/>
        </w:rPr>
        <w:t xml:space="preserve"> </w:t>
      </w:r>
      <w:r w:rsidR="002A7081">
        <w:rPr>
          <w:rFonts w:ascii="Times New Roman" w:hAnsi="Times New Roman" w:cs="Times New Roman"/>
        </w:rPr>
        <w:t>created a new Browser column by extracting browser names from the Device Information column using conditional logic.</w:t>
      </w:r>
    </w:p>
    <w:p w:rsidR="002A7081" w:rsidRDefault="004E216D">
      <w:pPr>
        <w:spacing w:after="80" w:line="264" w:lineRule="auto"/>
        <w:jc w:val="both"/>
        <w:rPr>
          <w:rFonts w:ascii="Times New Roman" w:hAnsi="Times New Roman" w:cs="Times New Roman"/>
        </w:rPr>
      </w:pPr>
      <w:r>
        <w:rPr>
          <w:rFonts w:ascii="Times New Roman" w:hAnsi="Times New Roman" w:cs="Times New Roman"/>
          <w:b/>
          <w:bCs/>
        </w:rPr>
        <w:t>8</w:t>
      </w:r>
      <w:r w:rsidR="002A7081">
        <w:rPr>
          <w:rFonts w:ascii="Times New Roman" w:hAnsi="Times New Roman" w:cs="Times New Roman"/>
          <w:b/>
          <w:bCs/>
        </w:rPr>
        <w:t xml:space="preserve">. Removed Payload Data Column </w:t>
      </w:r>
      <w:r w:rsidR="002B0252">
        <w:rPr>
          <w:rFonts w:ascii="Times New Roman" w:hAnsi="Times New Roman" w:cs="Times New Roman"/>
          <w:b/>
          <w:bCs/>
        </w:rPr>
        <w:t>-</w:t>
      </w:r>
      <w:r w:rsidR="002A7081">
        <w:rPr>
          <w:rFonts w:ascii="Times New Roman" w:hAnsi="Times New Roman" w:cs="Times New Roman"/>
          <w:b/>
          <w:bCs/>
        </w:rPr>
        <w:t xml:space="preserve"> </w:t>
      </w:r>
      <w:r w:rsidR="002A7081">
        <w:rPr>
          <w:rFonts w:ascii="Times New Roman" w:hAnsi="Times New Roman" w:cs="Times New Roman"/>
        </w:rPr>
        <w:t>deleted the Payload Data column because it contained unnecessary placeholder text and did not contribute to analysis.</w:t>
      </w:r>
    </w:p>
    <w:p w:rsidR="002A7081" w:rsidRDefault="004E216D">
      <w:pPr>
        <w:spacing w:after="80" w:line="264" w:lineRule="auto"/>
        <w:jc w:val="both"/>
        <w:rPr>
          <w:rFonts w:ascii="Times New Roman" w:hAnsi="Times New Roman" w:cs="Times New Roman"/>
        </w:rPr>
      </w:pPr>
      <w:r>
        <w:rPr>
          <w:rFonts w:ascii="Times New Roman" w:hAnsi="Times New Roman" w:cs="Times New Roman"/>
          <w:b/>
          <w:bCs/>
        </w:rPr>
        <w:t>9</w:t>
      </w:r>
      <w:r w:rsidR="002A7081">
        <w:rPr>
          <w:rFonts w:ascii="Times New Roman" w:hAnsi="Times New Roman" w:cs="Times New Roman"/>
          <w:b/>
          <w:bCs/>
        </w:rPr>
        <w:t xml:space="preserve">. Created Severity Sort Key </w:t>
      </w:r>
      <w:r w:rsidR="002B0252">
        <w:rPr>
          <w:rFonts w:ascii="Times New Roman" w:hAnsi="Times New Roman" w:cs="Times New Roman"/>
          <w:b/>
          <w:bCs/>
        </w:rPr>
        <w:t>-</w:t>
      </w:r>
      <w:r w:rsidR="002A7081">
        <w:rPr>
          <w:rFonts w:ascii="Times New Roman" w:hAnsi="Times New Roman" w:cs="Times New Roman"/>
          <w:b/>
          <w:bCs/>
        </w:rPr>
        <w:t xml:space="preserve"> </w:t>
      </w:r>
      <w:r w:rsidR="002A7081">
        <w:rPr>
          <w:rFonts w:ascii="Times New Roman" w:hAnsi="Times New Roman" w:cs="Times New Roman"/>
        </w:rPr>
        <w:t>added a Severity Sort column (Low = 1, Medium = 2, High = 3) to ensure the severity levels are displayed in the correct order.</w:t>
      </w:r>
    </w:p>
    <w:p w:rsidR="002A7081" w:rsidRDefault="004E216D">
      <w:pPr>
        <w:spacing w:after="80" w:line="264" w:lineRule="auto"/>
        <w:jc w:val="both"/>
        <w:rPr>
          <w:rFonts w:ascii="Times New Roman" w:hAnsi="Times New Roman" w:cs="Times New Roman"/>
        </w:rPr>
      </w:pPr>
      <w:r>
        <w:rPr>
          <w:rFonts w:ascii="Times New Roman" w:hAnsi="Times New Roman" w:cs="Times New Roman"/>
          <w:b/>
          <w:bCs/>
        </w:rPr>
        <w:t>10</w:t>
      </w:r>
      <w:r w:rsidR="002A7081">
        <w:rPr>
          <w:rFonts w:ascii="Times New Roman" w:hAnsi="Times New Roman" w:cs="Times New Roman"/>
          <w:b/>
          <w:bCs/>
        </w:rPr>
        <w:t xml:space="preserve">. Changed Data Types </w:t>
      </w:r>
      <w:r w:rsidR="002B0252">
        <w:rPr>
          <w:rFonts w:ascii="Times New Roman" w:hAnsi="Times New Roman" w:cs="Times New Roman"/>
          <w:b/>
          <w:bCs/>
        </w:rPr>
        <w:t>-</w:t>
      </w:r>
      <w:r w:rsidR="002A7081">
        <w:rPr>
          <w:rFonts w:ascii="Times New Roman" w:hAnsi="Times New Roman" w:cs="Times New Roman"/>
          <w:b/>
          <w:bCs/>
        </w:rPr>
        <w:t xml:space="preserve"> </w:t>
      </w:r>
      <w:r w:rsidR="002A7081">
        <w:rPr>
          <w:rFonts w:ascii="Times New Roman" w:hAnsi="Times New Roman" w:cs="Times New Roman"/>
        </w:rPr>
        <w:t>assigned appropriate data types to the transformed columns (Date/Time, Whole Number, Text, etc.) to improve data consistency.</w:t>
      </w:r>
    </w:p>
    <w:p w:rsidR="002A7081" w:rsidRDefault="004E216D">
      <w:pPr>
        <w:spacing w:after="110" w:line="264" w:lineRule="auto"/>
        <w:jc w:val="both"/>
        <w:rPr>
          <w:rFonts w:ascii="Times New Roman" w:hAnsi="Times New Roman" w:cs="Times New Roman"/>
        </w:rPr>
      </w:pPr>
      <w:r>
        <w:rPr>
          <w:rFonts w:ascii="Times New Roman" w:hAnsi="Times New Roman" w:cs="Times New Roman"/>
          <w:b/>
          <w:bCs/>
        </w:rPr>
        <w:t>11</w:t>
      </w:r>
      <w:r w:rsidR="002A7081">
        <w:rPr>
          <w:rFonts w:ascii="Times New Roman" w:hAnsi="Times New Roman" w:cs="Times New Roman"/>
          <w:b/>
          <w:bCs/>
        </w:rPr>
        <w:t xml:space="preserve">. Created Anomaly Score Bands </w:t>
      </w:r>
      <w:r w:rsidR="002B0252">
        <w:rPr>
          <w:rFonts w:ascii="Times New Roman" w:hAnsi="Times New Roman" w:cs="Times New Roman"/>
          <w:b/>
          <w:bCs/>
        </w:rPr>
        <w:t>-</w:t>
      </w:r>
      <w:r w:rsidR="002A7081">
        <w:rPr>
          <w:rFonts w:ascii="Times New Roman" w:hAnsi="Times New Roman" w:cs="Times New Roman"/>
          <w:b/>
          <w:bCs/>
        </w:rPr>
        <w:t xml:space="preserve"> </w:t>
      </w:r>
      <w:r w:rsidR="002A7081">
        <w:rPr>
          <w:rFonts w:ascii="Times New Roman" w:hAnsi="Times New Roman" w:cs="Times New Roman"/>
        </w:rPr>
        <w:t>grouped Anomaly Score values into ranges (0–25, 25–50, 50–75, 75–100) for easier visualization and analysis.</w:t>
      </w:r>
    </w:p>
    <w:p w:rsidR="002A7081" w:rsidRPr="00244B68" w:rsidRDefault="000A24F2">
      <w:pPr>
        <w:spacing w:after="110" w:line="276" w:lineRule="auto"/>
        <w:jc w:val="both"/>
        <w:rPr>
          <w:rFonts w:ascii="Times New Roman" w:hAnsi="Times New Roman" w:cs="Times New Roman"/>
        </w:rPr>
      </w:pPr>
      <w:r>
        <w:rPr>
          <w:rFonts w:ascii="Times New Roman" w:hAnsi="Times New Roman" w:cs="Times New Roman"/>
          <w:b/>
          <w:bCs/>
          <w:color w:val="0B639C"/>
        </w:rPr>
        <w:t xml:space="preserve">Step 4 </w:t>
      </w:r>
      <w:r w:rsidR="002B0252">
        <w:rPr>
          <w:rFonts w:ascii="Times New Roman" w:hAnsi="Times New Roman" w:cs="Times New Roman"/>
          <w:b/>
          <w:bCs/>
          <w:color w:val="0B639C"/>
        </w:rPr>
        <w:t>-</w:t>
      </w:r>
      <w:r>
        <w:rPr>
          <w:rFonts w:ascii="Times New Roman" w:hAnsi="Times New Roman" w:cs="Times New Roman"/>
          <w:b/>
          <w:bCs/>
          <w:color w:val="0B639C"/>
        </w:rPr>
        <w:t xml:space="preserve"> Data Modeling. </w:t>
      </w:r>
      <w:r>
        <w:rPr>
          <w:rFonts w:ascii="Times New Roman" w:hAnsi="Times New Roman" w:cs="Times New Roman"/>
        </w:rPr>
        <w:t>A dedicated Date table was created and marked as the model's date table to enable time-based analysis, and relationships were established so that all visuals respond consistently to slicers and cross-filtering.</w:t>
      </w:r>
    </w:p>
    <w:p w:rsidR="002A7081" w:rsidRPr="00244B68" w:rsidRDefault="000A24F2">
      <w:pPr>
        <w:spacing w:after="110" w:line="276" w:lineRule="auto"/>
        <w:jc w:val="both"/>
        <w:rPr>
          <w:rFonts w:ascii="Times New Roman" w:hAnsi="Times New Roman" w:cs="Times New Roman"/>
        </w:rPr>
      </w:pPr>
      <w:r>
        <w:rPr>
          <w:rFonts w:ascii="Times New Roman" w:hAnsi="Times New Roman" w:cs="Times New Roman"/>
          <w:b/>
          <w:bCs/>
          <w:color w:val="0B639C"/>
        </w:rPr>
        <w:t xml:space="preserve">Step 5 </w:t>
      </w:r>
      <w:r w:rsidR="002B0252">
        <w:rPr>
          <w:rFonts w:ascii="Times New Roman" w:hAnsi="Times New Roman" w:cs="Times New Roman"/>
          <w:b/>
          <w:bCs/>
          <w:color w:val="0B639C"/>
        </w:rPr>
        <w:t>-</w:t>
      </w:r>
      <w:r>
        <w:rPr>
          <w:rFonts w:ascii="Times New Roman" w:hAnsi="Times New Roman" w:cs="Times New Roman"/>
          <w:b/>
          <w:bCs/>
          <w:color w:val="0B639C"/>
        </w:rPr>
        <w:t xml:space="preserve"> DAX Measures &amp; Calculated Columns. </w:t>
      </w:r>
      <w:r>
        <w:rPr>
          <w:rFonts w:ascii="Times New Roman" w:hAnsi="Times New Roman" w:cs="Times New Roman"/>
        </w:rPr>
        <w:t>Core DAX logic was authored, including Attack = COUNTROWS('cybersecurity_attacks'), High Severity and % High Severity, Malware Detected, Avg Anomaly Score, Block Rate %, and the Anomaly Score Band calculated column that buckets scores into 0–25, 26–50, 51–75 and 76–100.</w:t>
      </w:r>
    </w:p>
    <w:p w:rsidR="002A7081" w:rsidRPr="00244B68" w:rsidRDefault="000A24F2">
      <w:pPr>
        <w:spacing w:after="110" w:line="276" w:lineRule="auto"/>
        <w:jc w:val="both"/>
        <w:rPr>
          <w:rFonts w:ascii="Times New Roman" w:hAnsi="Times New Roman" w:cs="Times New Roman"/>
        </w:rPr>
      </w:pPr>
      <w:r>
        <w:rPr>
          <w:rFonts w:ascii="Times New Roman" w:hAnsi="Times New Roman" w:cs="Times New Roman"/>
          <w:b/>
          <w:bCs/>
          <w:color w:val="0B639C"/>
        </w:rPr>
        <w:t xml:space="preserve">Step 6 </w:t>
      </w:r>
      <w:r w:rsidR="002B0252">
        <w:rPr>
          <w:rFonts w:ascii="Times New Roman" w:hAnsi="Times New Roman" w:cs="Times New Roman"/>
          <w:b/>
          <w:bCs/>
          <w:color w:val="0B639C"/>
        </w:rPr>
        <w:t>-</w:t>
      </w:r>
      <w:r>
        <w:rPr>
          <w:rFonts w:ascii="Times New Roman" w:hAnsi="Times New Roman" w:cs="Times New Roman"/>
          <w:b/>
          <w:bCs/>
          <w:color w:val="0B639C"/>
        </w:rPr>
        <w:t xml:space="preserve"> Dashboard Design &amp; Visualization. </w:t>
      </w:r>
      <w:r>
        <w:rPr>
          <w:rFonts w:ascii="Times New Roman" w:hAnsi="Times New Roman" w:cs="Times New Roman"/>
        </w:rPr>
        <w:t>Seven themed report pages were designed with a consistent dark security aesthetic, KPI cards and a clear visual hierarchy, so each page tells a focused story.</w:t>
      </w:r>
    </w:p>
    <w:p w:rsidR="002A7081" w:rsidRPr="00244B68" w:rsidRDefault="000A24F2">
      <w:pPr>
        <w:spacing w:after="110" w:line="276" w:lineRule="auto"/>
        <w:jc w:val="both"/>
        <w:rPr>
          <w:rFonts w:ascii="Times New Roman" w:hAnsi="Times New Roman" w:cs="Times New Roman"/>
        </w:rPr>
      </w:pPr>
      <w:r>
        <w:rPr>
          <w:rFonts w:ascii="Times New Roman" w:hAnsi="Times New Roman" w:cs="Times New Roman"/>
          <w:b/>
          <w:bCs/>
          <w:color w:val="0B639C"/>
        </w:rPr>
        <w:t xml:space="preserve">Step 7 </w:t>
      </w:r>
      <w:r w:rsidR="002B0252">
        <w:rPr>
          <w:rFonts w:ascii="Times New Roman" w:hAnsi="Times New Roman" w:cs="Times New Roman"/>
          <w:b/>
          <w:bCs/>
          <w:color w:val="0B639C"/>
        </w:rPr>
        <w:t>-</w:t>
      </w:r>
      <w:r>
        <w:rPr>
          <w:rFonts w:ascii="Times New Roman" w:hAnsi="Times New Roman" w:cs="Times New Roman"/>
          <w:b/>
          <w:bCs/>
          <w:color w:val="0B639C"/>
        </w:rPr>
        <w:t xml:space="preserve"> Interactivity &amp; Advanced Analytics. </w:t>
      </w:r>
      <w:r>
        <w:rPr>
          <w:rFonts w:ascii="Times New Roman" w:hAnsi="Times New Roman" w:cs="Times New Roman"/>
        </w:rPr>
        <w:t xml:space="preserve">Slicers (date, severity, attack type), cross-highlighting, tooltips and advanced visuals </w:t>
      </w:r>
      <w:r w:rsidR="002B0252">
        <w:rPr>
          <w:rFonts w:ascii="Times New Roman" w:hAnsi="Times New Roman" w:cs="Times New Roman"/>
        </w:rPr>
        <w:t>-</w:t>
      </w:r>
      <w:r>
        <w:rPr>
          <w:rFonts w:ascii="Times New Roman" w:hAnsi="Times New Roman" w:cs="Times New Roman"/>
        </w:rPr>
        <w:t xml:space="preserve"> the decomposition tree, ribbon charts, treemaps and matrices </w:t>
      </w:r>
      <w:r w:rsidR="002B0252">
        <w:rPr>
          <w:rFonts w:ascii="Times New Roman" w:hAnsi="Times New Roman" w:cs="Times New Roman"/>
        </w:rPr>
        <w:t>-</w:t>
      </w:r>
      <w:r>
        <w:rPr>
          <w:rFonts w:ascii="Times New Roman" w:hAnsi="Times New Roman" w:cs="Times New Roman"/>
        </w:rPr>
        <w:t xml:space="preserve"> were added so users can explore the data interactively and drill from summary to detail.</w:t>
      </w:r>
    </w:p>
    <w:p w:rsidR="002A7081" w:rsidRPr="00244B68" w:rsidRDefault="000A24F2">
      <w:pPr>
        <w:spacing w:after="110" w:line="276" w:lineRule="auto"/>
        <w:jc w:val="both"/>
        <w:rPr>
          <w:rFonts w:ascii="Times New Roman" w:hAnsi="Times New Roman" w:cs="Times New Roman"/>
        </w:rPr>
      </w:pPr>
      <w:r>
        <w:rPr>
          <w:rFonts w:ascii="Times New Roman" w:hAnsi="Times New Roman" w:cs="Times New Roman"/>
          <w:b/>
          <w:bCs/>
          <w:color w:val="0B639C"/>
        </w:rPr>
        <w:t xml:space="preserve">Step 8 </w:t>
      </w:r>
      <w:r w:rsidR="002B0252">
        <w:rPr>
          <w:rFonts w:ascii="Times New Roman" w:hAnsi="Times New Roman" w:cs="Times New Roman"/>
          <w:b/>
          <w:bCs/>
          <w:color w:val="0B639C"/>
        </w:rPr>
        <w:t>-</w:t>
      </w:r>
      <w:r>
        <w:rPr>
          <w:rFonts w:ascii="Times New Roman" w:hAnsi="Times New Roman" w:cs="Times New Roman"/>
          <w:b/>
          <w:bCs/>
          <w:color w:val="0B639C"/>
        </w:rPr>
        <w:t xml:space="preserve"> Insight Generation &amp; Interpretation. </w:t>
      </w:r>
      <w:r>
        <w:rPr>
          <w:rFonts w:ascii="Times New Roman" w:hAnsi="Times New Roman" w:cs="Times New Roman"/>
        </w:rPr>
        <w:t>The completed dashboards were analysed to extract the findings documented in Section 3.4, validating figures across visuals for consistency.</w:t>
      </w:r>
    </w:p>
    <w:p w:rsidR="002A7081" w:rsidRPr="00244B68" w:rsidRDefault="000A24F2">
      <w:pPr>
        <w:spacing w:after="110" w:line="276" w:lineRule="auto"/>
        <w:jc w:val="both"/>
        <w:rPr>
          <w:rFonts w:ascii="Times New Roman" w:hAnsi="Times New Roman" w:cs="Times New Roman"/>
        </w:rPr>
      </w:pPr>
      <w:r>
        <w:rPr>
          <w:rFonts w:ascii="Times New Roman" w:hAnsi="Times New Roman" w:cs="Times New Roman"/>
          <w:b/>
          <w:bCs/>
          <w:color w:val="0B639C"/>
        </w:rPr>
        <w:lastRenderedPageBreak/>
        <w:t xml:space="preserve">Step 9 </w:t>
      </w:r>
      <w:r w:rsidR="002B0252">
        <w:rPr>
          <w:rFonts w:ascii="Times New Roman" w:hAnsi="Times New Roman" w:cs="Times New Roman"/>
          <w:b/>
          <w:bCs/>
          <w:color w:val="0B639C"/>
        </w:rPr>
        <w:t>-</w:t>
      </w:r>
      <w:r>
        <w:rPr>
          <w:rFonts w:ascii="Times New Roman" w:hAnsi="Times New Roman" w:cs="Times New Roman"/>
          <w:b/>
          <w:bCs/>
          <w:color w:val="0B639C"/>
        </w:rPr>
        <w:t xml:space="preserve"> Reporting, Documentation &amp; Publishing. </w:t>
      </w:r>
      <w:r>
        <w:rPr>
          <w:rFonts w:ascii="Times New Roman" w:hAnsi="Times New Roman" w:cs="Times New Roman"/>
        </w:rPr>
        <w:t>Findings were consolidated into this Word report and a PowerPoint walkthrough; the .pbix file and artefacts were version-controlled on GitHub; progress was reviewed with the mentor on Microsoft Teams; and the report was prepared for the Mileston</w:t>
      </w:r>
      <w:r w:rsidR="00EA3F05">
        <w:rPr>
          <w:rFonts w:ascii="Times New Roman" w:hAnsi="Times New Roman" w:cs="Times New Roman"/>
        </w:rPr>
        <w:t>e 4</w:t>
      </w:r>
      <w:r>
        <w:rPr>
          <w:rFonts w:ascii="Times New Roman" w:hAnsi="Times New Roman" w:cs="Times New Roman"/>
        </w:rPr>
        <w:t xml:space="preserve"> submission.</w:t>
      </w:r>
    </w:p>
    <w:p w:rsidR="002A7081" w:rsidRPr="00244B68" w:rsidRDefault="000A24F2">
      <w:pPr>
        <w:pStyle w:val="Heading2"/>
        <w:spacing w:before="200" w:after="80"/>
        <w:rPr>
          <w:rFonts w:ascii="Times New Roman" w:hAnsi="Times New Roman" w:cs="Times New Roman"/>
        </w:rPr>
      </w:pPr>
      <w:r>
        <w:rPr>
          <w:rFonts w:ascii="Segoe UI Symbol" w:hAnsi="Segoe UI Symbol" w:cs="Segoe UI Symbol"/>
          <w:color w:val="0F7FC4"/>
          <w:sz w:val="24"/>
          <w:szCs w:val="24"/>
        </w:rPr>
        <w:t>▍</w:t>
      </w:r>
      <w:r>
        <w:rPr>
          <w:rFonts w:ascii="Times New Roman" w:hAnsi="Times New Roman" w:cs="Times New Roman"/>
          <w:color w:val="0F7FC4"/>
          <w:sz w:val="24"/>
          <w:szCs w:val="24"/>
        </w:rPr>
        <w:t xml:space="preserve"> </w:t>
      </w:r>
      <w:r>
        <w:rPr>
          <w:rFonts w:ascii="Times New Roman" w:hAnsi="Times New Roman" w:cs="Times New Roman"/>
        </w:rPr>
        <w:t xml:space="preserve">Dashboard 1 </w:t>
      </w:r>
      <w:r w:rsidR="002B0252">
        <w:rPr>
          <w:rFonts w:ascii="Times New Roman" w:hAnsi="Times New Roman" w:cs="Times New Roman"/>
        </w:rPr>
        <w:t>-</w:t>
      </w:r>
      <w:r>
        <w:rPr>
          <w:rFonts w:ascii="Times New Roman" w:hAnsi="Times New Roman" w:cs="Times New Roman"/>
        </w:rPr>
        <w:t xml:space="preserve"> Cyber Security Attacks Analysis</w:t>
      </w:r>
    </w:p>
    <w:p w:rsidR="00116B4D" w:rsidRDefault="00116B4D" w:rsidP="00116B4D">
      <w:pPr>
        <w:pStyle w:val="Heading3"/>
      </w:pPr>
    </w:p>
    <w:p w:rsidR="00116B4D" w:rsidRDefault="00116B4D" w:rsidP="00116B4D">
      <w:pPr>
        <w:pStyle w:val="Heading3"/>
      </w:pPr>
      <w:r>
        <w:t>Key Performance Indicators (KPIs)</w:t>
      </w:r>
    </w:p>
    <w:p w:rsidR="00116B4D" w:rsidRDefault="00116B4D" w:rsidP="00116B4D">
      <w:pPr>
        <w:pStyle w:val="NormalWeb"/>
      </w:pPr>
      <w:r>
        <w:t>Located at the very top, these three text boxes provide a high-level summary of the attack volume:</w:t>
      </w:r>
    </w:p>
    <w:p w:rsidR="00116B4D" w:rsidRDefault="00116B4D" w:rsidP="00116B4D">
      <w:pPr>
        <w:pStyle w:val="NormalWeb"/>
        <w:numPr>
          <w:ilvl w:val="0"/>
          <w:numId w:val="3"/>
        </w:numPr>
      </w:pPr>
      <w:r>
        <w:rPr>
          <w:b/>
          <w:bCs/>
        </w:rPr>
        <w:t>Total Attack:</w:t>
      </w:r>
      <w:r>
        <w:t xml:space="preserve"> Shows a total of </w:t>
      </w:r>
      <w:r>
        <w:rPr>
          <w:b/>
          <w:bCs/>
        </w:rPr>
        <w:t>40K</w:t>
      </w:r>
      <w:r>
        <w:t xml:space="preserve"> recorded cybersecurity incidents.</w:t>
      </w:r>
    </w:p>
    <w:p w:rsidR="00116B4D" w:rsidRDefault="00116B4D" w:rsidP="00116B4D">
      <w:pPr>
        <w:pStyle w:val="NormalWeb"/>
        <w:numPr>
          <w:ilvl w:val="0"/>
          <w:numId w:val="3"/>
        </w:numPr>
      </w:pPr>
      <w:r>
        <w:rPr>
          <w:b/>
          <w:bCs/>
        </w:rPr>
        <w:t>High Severity:</w:t>
      </w:r>
      <w:r>
        <w:t xml:space="preserve"> Indicates that </w:t>
      </w:r>
      <w:r>
        <w:rPr>
          <w:b/>
          <w:bCs/>
        </w:rPr>
        <w:t>13382</w:t>
      </w:r>
      <w:r>
        <w:t xml:space="preserve"> of those attacks were classified as having a high severity level.</w:t>
      </w:r>
    </w:p>
    <w:p w:rsidR="00116B4D" w:rsidRPr="0047794D" w:rsidRDefault="00116B4D" w:rsidP="00116B4D">
      <w:pPr>
        <w:pStyle w:val="NormalWeb"/>
        <w:numPr>
          <w:ilvl w:val="0"/>
          <w:numId w:val="3"/>
        </w:numPr>
      </w:pPr>
      <w:r>
        <w:rPr>
          <w:b/>
          <w:bCs/>
        </w:rPr>
        <w:t>Low Severity:</w:t>
      </w:r>
      <w:r>
        <w:t xml:space="preserve"> Shows that </w:t>
      </w:r>
      <w:r>
        <w:rPr>
          <w:b/>
          <w:bCs/>
        </w:rPr>
        <w:t>13183</w:t>
      </w:r>
      <w:r>
        <w:t xml:space="preserve"> of the attacks were classified as low severity. </w:t>
      </w:r>
      <w:r>
        <w:rPr>
          <w:i/>
          <w:iCs/>
        </w:rPr>
        <w:t>(The remaining balance accounts for medium-severity attacks).</w:t>
      </w:r>
    </w:p>
    <w:p w:rsidR="0047794D" w:rsidRDefault="0047794D" w:rsidP="0047794D">
      <w:pPr>
        <w:pStyle w:val="NormalWeb"/>
        <w:ind w:left="720"/>
      </w:pPr>
      <w:r>
        <w:t xml:space="preserve">                             </w:t>
      </w:r>
      <w:r>
        <w:rPr>
          <w:noProof/>
        </w:rPr>
        <w:drawing>
          <wp:inline distT="0" distB="0" distL="0" distR="0" wp14:anchorId="58833A00" wp14:editId="363A0853">
            <wp:extent cx="3324225" cy="105711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5160" t="20579" r="55192" b="62311"/>
                    <a:stretch/>
                  </pic:blipFill>
                  <pic:spPr bwMode="auto">
                    <a:xfrm>
                      <a:off x="0" y="0"/>
                      <a:ext cx="3658243" cy="1163332"/>
                    </a:xfrm>
                    <a:prstGeom prst="rect">
                      <a:avLst/>
                    </a:prstGeom>
                    <a:ln>
                      <a:noFill/>
                    </a:ln>
                    <a:extLst>
                      <a:ext uri="{53640926-AAD7-44D8-BBD7-CCE9431645EC}">
                        <a14:shadowObscured xmlns:a14="http://schemas.microsoft.com/office/drawing/2010/main"/>
                      </a:ext>
                    </a:extLst>
                  </pic:spPr>
                </pic:pic>
              </a:graphicData>
            </a:graphic>
          </wp:inline>
        </w:drawing>
      </w:r>
    </w:p>
    <w:p w:rsidR="0047794D" w:rsidRDefault="0047794D" w:rsidP="00116B4D">
      <w:pPr>
        <w:pStyle w:val="Heading3"/>
      </w:pPr>
    </w:p>
    <w:p w:rsidR="0047794D" w:rsidRDefault="0047794D" w:rsidP="00116B4D">
      <w:pPr>
        <w:pStyle w:val="Heading3"/>
      </w:pPr>
    </w:p>
    <w:p w:rsidR="00116B4D" w:rsidRDefault="00116B4D" w:rsidP="00116B4D">
      <w:pPr>
        <w:pStyle w:val="Heading3"/>
      </w:pPr>
      <w:r>
        <w:t>Attack by Attack Type</w:t>
      </w:r>
    </w:p>
    <w:p w:rsidR="00116B4D" w:rsidRDefault="00116B4D" w:rsidP="00116B4D">
      <w:pPr>
        <w:pStyle w:val="NormalWeb"/>
      </w:pPr>
      <w:r>
        <w:t>This donut chart on the middle-left breaks down the total attacks into three specific categories, showing a nearly equal distribution among them:</w:t>
      </w:r>
    </w:p>
    <w:p w:rsidR="00116B4D" w:rsidRDefault="00116B4D" w:rsidP="00116B4D">
      <w:pPr>
        <w:pStyle w:val="NormalWeb"/>
        <w:numPr>
          <w:ilvl w:val="0"/>
          <w:numId w:val="4"/>
        </w:numPr>
      </w:pPr>
      <w:r>
        <w:rPr>
          <w:b/>
          <w:bCs/>
        </w:rPr>
        <w:t>DDoS:</w:t>
      </w:r>
      <w:r>
        <w:t xml:space="preserve"> 13.43K (33.57%)</w:t>
      </w:r>
    </w:p>
    <w:p w:rsidR="00116B4D" w:rsidRDefault="00116B4D" w:rsidP="00116B4D">
      <w:pPr>
        <w:pStyle w:val="NormalWeb"/>
        <w:numPr>
          <w:ilvl w:val="0"/>
          <w:numId w:val="4"/>
        </w:numPr>
      </w:pPr>
      <w:r>
        <w:rPr>
          <w:b/>
          <w:bCs/>
        </w:rPr>
        <w:t>Malware:</w:t>
      </w:r>
      <w:r>
        <w:t xml:space="preserve"> 13.31K (33.27%)</w:t>
      </w:r>
    </w:p>
    <w:p w:rsidR="00116B4D" w:rsidRDefault="00116B4D" w:rsidP="00116B4D">
      <w:pPr>
        <w:pStyle w:val="NormalWeb"/>
        <w:numPr>
          <w:ilvl w:val="0"/>
          <w:numId w:val="4"/>
        </w:numPr>
      </w:pPr>
      <w:r>
        <w:rPr>
          <w:b/>
          <w:bCs/>
        </w:rPr>
        <w:t>Intrusion:</w:t>
      </w:r>
      <w:r>
        <w:t xml:space="preserve"> 13.27K (33.16%)</w:t>
      </w:r>
    </w:p>
    <w:p w:rsidR="0047794D" w:rsidRDefault="0047794D" w:rsidP="0047794D">
      <w:pPr>
        <w:pStyle w:val="NormalWeb"/>
        <w:ind w:left="720"/>
      </w:pPr>
      <w:r>
        <w:t xml:space="preserve">                           </w:t>
      </w:r>
      <w:r>
        <w:rPr>
          <w:noProof/>
        </w:rPr>
        <w:drawing>
          <wp:inline distT="0" distB="0" distL="0" distR="0" wp14:anchorId="689BB72A" wp14:editId="0F0D10CE">
            <wp:extent cx="2153285" cy="116456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4879" t="37440" r="75039" b="39991"/>
                    <a:stretch/>
                  </pic:blipFill>
                  <pic:spPr bwMode="auto">
                    <a:xfrm>
                      <a:off x="0" y="0"/>
                      <a:ext cx="2245247" cy="1214302"/>
                    </a:xfrm>
                    <a:prstGeom prst="rect">
                      <a:avLst/>
                    </a:prstGeom>
                    <a:ln>
                      <a:noFill/>
                    </a:ln>
                    <a:extLst>
                      <a:ext uri="{53640926-AAD7-44D8-BBD7-CCE9431645EC}">
                        <a14:shadowObscured xmlns:a14="http://schemas.microsoft.com/office/drawing/2010/main"/>
                      </a:ext>
                    </a:extLst>
                  </pic:spPr>
                </pic:pic>
              </a:graphicData>
            </a:graphic>
          </wp:inline>
        </w:drawing>
      </w:r>
    </w:p>
    <w:p w:rsidR="00116B4D" w:rsidRDefault="00116B4D" w:rsidP="00116B4D">
      <w:pPr>
        <w:pStyle w:val="Heading3"/>
      </w:pPr>
      <w:r>
        <w:t>Action Taken Over Attacks</w:t>
      </w:r>
    </w:p>
    <w:p w:rsidR="00116B4D" w:rsidRDefault="00116B4D" w:rsidP="00116B4D">
      <w:pPr>
        <w:pStyle w:val="NormalWeb"/>
      </w:pPr>
      <w:r>
        <w:t>Located in the center, this pie chart illustrates the system's or security team's response to the detected incidents. Similar to the attack types, the actions are evenly distributed:</w:t>
      </w:r>
    </w:p>
    <w:p w:rsidR="00116B4D" w:rsidRDefault="00116B4D" w:rsidP="00116B4D">
      <w:pPr>
        <w:pStyle w:val="NormalWeb"/>
        <w:numPr>
          <w:ilvl w:val="0"/>
          <w:numId w:val="5"/>
        </w:numPr>
      </w:pPr>
      <w:r>
        <w:rPr>
          <w:b/>
          <w:bCs/>
        </w:rPr>
        <w:t>Blocked:</w:t>
      </w:r>
      <w:r>
        <w:t xml:space="preserve"> 13.53K (33.82%)</w:t>
      </w:r>
    </w:p>
    <w:p w:rsidR="00116B4D" w:rsidRDefault="00116B4D" w:rsidP="00116B4D">
      <w:pPr>
        <w:pStyle w:val="NormalWeb"/>
        <w:numPr>
          <w:ilvl w:val="0"/>
          <w:numId w:val="5"/>
        </w:numPr>
      </w:pPr>
      <w:r>
        <w:rPr>
          <w:b/>
          <w:bCs/>
        </w:rPr>
        <w:t>Logged:</w:t>
      </w:r>
      <w:r>
        <w:t xml:space="preserve"> 13.28K (33.19%)</w:t>
      </w:r>
    </w:p>
    <w:p w:rsidR="00116B4D" w:rsidRDefault="00116B4D" w:rsidP="00116B4D">
      <w:pPr>
        <w:pStyle w:val="NormalWeb"/>
        <w:numPr>
          <w:ilvl w:val="0"/>
          <w:numId w:val="5"/>
        </w:numPr>
      </w:pPr>
      <w:r>
        <w:rPr>
          <w:b/>
          <w:bCs/>
        </w:rPr>
        <w:t>Ignored:</w:t>
      </w:r>
      <w:r>
        <w:t xml:space="preserve"> 13.20K (32.99%)</w:t>
      </w:r>
    </w:p>
    <w:p w:rsidR="0047794D" w:rsidRDefault="00FC4D79" w:rsidP="0047794D">
      <w:pPr>
        <w:pStyle w:val="NormalWeb"/>
        <w:ind w:left="720"/>
      </w:pPr>
      <w:r>
        <w:lastRenderedPageBreak/>
        <w:t xml:space="preserve">                                  </w:t>
      </w:r>
      <w:r>
        <w:rPr>
          <w:noProof/>
        </w:rPr>
        <w:drawing>
          <wp:inline distT="0" distB="0" distL="0" distR="0" wp14:anchorId="42AF685D" wp14:editId="3163E542">
            <wp:extent cx="2034134" cy="1311215"/>
            <wp:effectExtent l="0" t="0" r="4445"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24263" t="37440" r="55247" b="39738"/>
                    <a:stretch/>
                  </pic:blipFill>
                  <pic:spPr bwMode="auto">
                    <a:xfrm>
                      <a:off x="0" y="0"/>
                      <a:ext cx="2094031" cy="1349825"/>
                    </a:xfrm>
                    <a:prstGeom prst="rect">
                      <a:avLst/>
                    </a:prstGeom>
                    <a:ln>
                      <a:noFill/>
                    </a:ln>
                    <a:extLst>
                      <a:ext uri="{53640926-AAD7-44D8-BBD7-CCE9431645EC}">
                        <a14:shadowObscured xmlns:a14="http://schemas.microsoft.com/office/drawing/2010/main"/>
                      </a:ext>
                    </a:extLst>
                  </pic:spPr>
                </pic:pic>
              </a:graphicData>
            </a:graphic>
          </wp:inline>
        </w:drawing>
      </w:r>
    </w:p>
    <w:p w:rsidR="00116B4D" w:rsidRDefault="00116B4D" w:rsidP="00116B4D">
      <w:pPr>
        <w:pStyle w:val="Heading3"/>
      </w:pPr>
      <w:r>
        <w:t>Severity By Attack Type</w:t>
      </w:r>
    </w:p>
    <w:p w:rsidR="00116B4D" w:rsidRDefault="00116B4D" w:rsidP="00116B4D">
      <w:pPr>
        <w:pStyle w:val="NormalWeb"/>
      </w:pPr>
      <w:r>
        <w:t>This stacked column chart in the bottom-left corner provides a deeper look into the attack types (DDoS, Malware, Intrusion) by segmenting each column into three severity levels:</w:t>
      </w:r>
    </w:p>
    <w:p w:rsidR="00116B4D" w:rsidRDefault="00116B4D" w:rsidP="00116B4D">
      <w:pPr>
        <w:pStyle w:val="NormalWeb"/>
        <w:numPr>
          <w:ilvl w:val="0"/>
          <w:numId w:val="6"/>
        </w:numPr>
      </w:pPr>
      <w:r>
        <w:rPr>
          <w:b/>
          <w:bCs/>
        </w:rPr>
        <w:t>High</w:t>
      </w:r>
      <w:r>
        <w:t xml:space="preserve"> (Light Blue)</w:t>
      </w:r>
    </w:p>
    <w:p w:rsidR="00116B4D" w:rsidRDefault="00116B4D" w:rsidP="00116B4D">
      <w:pPr>
        <w:pStyle w:val="NormalWeb"/>
        <w:numPr>
          <w:ilvl w:val="0"/>
          <w:numId w:val="6"/>
        </w:numPr>
      </w:pPr>
      <w:r>
        <w:rPr>
          <w:b/>
          <w:bCs/>
        </w:rPr>
        <w:t>Low</w:t>
      </w:r>
      <w:r>
        <w:t xml:space="preserve"> (Dark Blue)</w:t>
      </w:r>
    </w:p>
    <w:p w:rsidR="00116B4D" w:rsidRDefault="00116B4D" w:rsidP="00116B4D">
      <w:pPr>
        <w:pStyle w:val="NormalWeb"/>
        <w:numPr>
          <w:ilvl w:val="0"/>
          <w:numId w:val="6"/>
        </w:numPr>
      </w:pPr>
      <w:r>
        <w:rPr>
          <w:b/>
          <w:bCs/>
        </w:rPr>
        <w:t>Medium</w:t>
      </w:r>
      <w:r>
        <w:t xml:space="preserve"> (Orange) The chart reveals that the proportion of high, low, and medium severity incidents is highly consistent regardless of the attack type.</w:t>
      </w:r>
    </w:p>
    <w:p w:rsidR="00FC4D79" w:rsidRDefault="00FC4D79" w:rsidP="00FC4D79">
      <w:pPr>
        <w:pStyle w:val="NormalWeb"/>
        <w:ind w:left="720"/>
      </w:pPr>
      <w:r>
        <w:rPr>
          <w:b/>
          <w:bCs/>
        </w:rPr>
        <w:t xml:space="preserve">                                    </w:t>
      </w:r>
      <w:r>
        <w:rPr>
          <w:noProof/>
        </w:rPr>
        <w:drawing>
          <wp:inline distT="0" distB="0" distL="0" distR="0" wp14:anchorId="41F20196" wp14:editId="0D401178">
            <wp:extent cx="2268507" cy="1172733"/>
            <wp:effectExtent l="0" t="0" r="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5019" t="59507" r="75176" b="14451"/>
                    <a:stretch/>
                  </pic:blipFill>
                  <pic:spPr bwMode="auto">
                    <a:xfrm>
                      <a:off x="0" y="0"/>
                      <a:ext cx="2313176" cy="1195825"/>
                    </a:xfrm>
                    <a:prstGeom prst="rect">
                      <a:avLst/>
                    </a:prstGeom>
                    <a:ln>
                      <a:noFill/>
                    </a:ln>
                    <a:extLst>
                      <a:ext uri="{53640926-AAD7-44D8-BBD7-CCE9431645EC}">
                        <a14:shadowObscured xmlns:a14="http://schemas.microsoft.com/office/drawing/2010/main"/>
                      </a:ext>
                    </a:extLst>
                  </pic:spPr>
                </pic:pic>
              </a:graphicData>
            </a:graphic>
          </wp:inline>
        </w:drawing>
      </w:r>
    </w:p>
    <w:p w:rsidR="00116B4D" w:rsidRDefault="00116B4D" w:rsidP="00116B4D">
      <w:pPr>
        <w:pStyle w:val="Heading3"/>
      </w:pPr>
      <w:r>
        <w:t>Traffic Breakdown</w:t>
      </w:r>
    </w:p>
    <w:p w:rsidR="00116B4D" w:rsidRDefault="00116B4D" w:rsidP="00116B4D">
      <w:pPr>
        <w:pStyle w:val="NormalWeb"/>
      </w:pPr>
      <w:r>
        <w:t>Found in the bottom-middle section, this clustered horizontal bar chart categorizes network traffic involved in the attacks:</w:t>
      </w:r>
    </w:p>
    <w:p w:rsidR="00116B4D" w:rsidRDefault="00116B4D" w:rsidP="00116B4D">
      <w:pPr>
        <w:pStyle w:val="NormalWeb"/>
        <w:numPr>
          <w:ilvl w:val="0"/>
          <w:numId w:val="7"/>
        </w:numPr>
      </w:pPr>
      <w:r>
        <w:rPr>
          <w:b/>
          <w:bCs/>
        </w:rPr>
        <w:t>Traffic Types:</w:t>
      </w:r>
      <w:r>
        <w:t xml:space="preserve"> DNS, HTTP, and FTP.</w:t>
      </w:r>
    </w:p>
    <w:p w:rsidR="00116B4D" w:rsidRDefault="00116B4D" w:rsidP="00116B4D">
      <w:pPr>
        <w:pStyle w:val="NormalWeb"/>
        <w:numPr>
          <w:ilvl w:val="0"/>
          <w:numId w:val="7"/>
        </w:numPr>
      </w:pPr>
      <w:r>
        <w:rPr>
          <w:b/>
          <w:bCs/>
        </w:rPr>
        <w:t>Protocols:</w:t>
      </w:r>
      <w:r>
        <w:t xml:space="preserve"> Each traffic type is further broken down by ICMP (Light Blue), TCP (Dark Blue), and UDP (Orange).</w:t>
      </w:r>
    </w:p>
    <w:p w:rsidR="00116B4D" w:rsidRDefault="00116B4D" w:rsidP="00116B4D">
      <w:pPr>
        <w:pStyle w:val="NormalWeb"/>
        <w:numPr>
          <w:ilvl w:val="0"/>
          <w:numId w:val="7"/>
        </w:numPr>
      </w:pPr>
      <w:r>
        <w:t>The data displays a uniform distribution, with each protocol type accounting for roughly 4K incidents across all three traffic categories.</w:t>
      </w:r>
    </w:p>
    <w:p w:rsidR="00FC4D79" w:rsidRDefault="00FC4D79" w:rsidP="00FC4D79">
      <w:pPr>
        <w:pStyle w:val="NormalWeb"/>
        <w:ind w:left="720"/>
      </w:pPr>
      <w:r>
        <w:t xml:space="preserve">                             </w:t>
      </w:r>
      <w:r>
        <w:rPr>
          <w:noProof/>
        </w:rPr>
        <w:drawing>
          <wp:inline distT="0" distB="0" distL="0" distR="0" wp14:anchorId="4E2F2E55" wp14:editId="29A7E154">
            <wp:extent cx="3476625" cy="180022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24779" t="59669" r="55433" b="15129"/>
                    <a:stretch/>
                  </pic:blipFill>
                  <pic:spPr bwMode="auto">
                    <a:xfrm>
                      <a:off x="0" y="0"/>
                      <a:ext cx="3476625" cy="1800225"/>
                    </a:xfrm>
                    <a:prstGeom prst="rect">
                      <a:avLst/>
                    </a:prstGeom>
                    <a:ln>
                      <a:noFill/>
                    </a:ln>
                    <a:extLst>
                      <a:ext uri="{53640926-AAD7-44D8-BBD7-CCE9431645EC}">
                        <a14:shadowObscured xmlns:a14="http://schemas.microsoft.com/office/drawing/2010/main"/>
                      </a:ext>
                    </a:extLst>
                  </pic:spPr>
                </pic:pic>
              </a:graphicData>
            </a:graphic>
          </wp:inline>
        </w:drawing>
      </w:r>
    </w:p>
    <w:p w:rsidR="00116B4D" w:rsidRDefault="00116B4D" w:rsidP="00116B4D">
      <w:pPr>
        <w:pStyle w:val="Heading3"/>
      </w:pPr>
      <w:r>
        <w:t>Geographic Spread</w:t>
      </w:r>
    </w:p>
    <w:p w:rsidR="00116B4D" w:rsidRDefault="00116B4D" w:rsidP="00116B4D">
      <w:pPr>
        <w:pStyle w:val="NormalWeb"/>
      </w:pPr>
      <w:r>
        <w:lastRenderedPageBreak/>
        <w:t>Taking up the top right section, this map visualizes the physical origins or targeted nodes of the attacks:</w:t>
      </w:r>
    </w:p>
    <w:p w:rsidR="00116B4D" w:rsidRDefault="00116B4D" w:rsidP="00116B4D">
      <w:pPr>
        <w:pStyle w:val="NormalWeb"/>
        <w:numPr>
          <w:ilvl w:val="0"/>
          <w:numId w:val="8"/>
        </w:numPr>
      </w:pPr>
      <w:r>
        <w:t xml:space="preserve">The map focuses on </w:t>
      </w:r>
      <w:r>
        <w:rPr>
          <w:b/>
          <w:bCs/>
        </w:rPr>
        <w:t>India and neighboring countries</w:t>
      </w:r>
      <w:r>
        <w:t>.</w:t>
      </w:r>
    </w:p>
    <w:p w:rsidR="00116B4D" w:rsidRDefault="00116B4D" w:rsidP="00116B4D">
      <w:pPr>
        <w:pStyle w:val="NormalWeb"/>
        <w:numPr>
          <w:ilvl w:val="0"/>
          <w:numId w:val="8"/>
        </w:numPr>
      </w:pPr>
      <w:r>
        <w:t xml:space="preserve">It uses multi-colored circular markers at various geographic points. The colors within these markers correspond to the </w:t>
      </w:r>
      <w:r>
        <w:rPr>
          <w:b/>
          <w:bCs/>
        </w:rPr>
        <w:t>Attack Type</w:t>
      </w:r>
      <w:r>
        <w:t xml:space="preserve"> (DDoS, Intrusion, Malware), indicating the mix of attacks hitting each specific location.</w:t>
      </w:r>
    </w:p>
    <w:p w:rsidR="00116B4D" w:rsidRDefault="00116B4D" w:rsidP="00116B4D">
      <w:pPr>
        <w:pStyle w:val="NormalWeb"/>
        <w:numPr>
          <w:ilvl w:val="0"/>
          <w:numId w:val="8"/>
        </w:numPr>
      </w:pPr>
      <w:r>
        <w:rPr>
          <w:i/>
          <w:iCs/>
        </w:rPr>
        <w:t>Note:</w:t>
      </w:r>
      <w:r>
        <w:t xml:space="preserve"> There is an administrative warning banner at the top of this chart stating, "This visual type is being retired soon."</w:t>
      </w:r>
    </w:p>
    <w:p w:rsidR="00FC4D79" w:rsidRDefault="00FC4D79" w:rsidP="00FC4D79">
      <w:pPr>
        <w:pStyle w:val="NormalWeb"/>
        <w:ind w:left="720"/>
      </w:pPr>
      <w:r>
        <w:rPr>
          <w:i/>
          <w:iCs/>
        </w:rPr>
        <w:t xml:space="preserve">                                        </w:t>
      </w:r>
      <w:r>
        <w:rPr>
          <w:noProof/>
        </w:rPr>
        <w:drawing>
          <wp:inline distT="0" distB="0" distL="0" distR="0" wp14:anchorId="15A6DEF7" wp14:editId="224C0FC9">
            <wp:extent cx="2562225" cy="3057525"/>
            <wp:effectExtent l="0" t="0" r="9525"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44479" t="20807" r="30741" b="31283"/>
                    <a:stretch/>
                  </pic:blipFill>
                  <pic:spPr bwMode="auto">
                    <a:xfrm>
                      <a:off x="0" y="0"/>
                      <a:ext cx="2562225" cy="3057525"/>
                    </a:xfrm>
                    <a:prstGeom prst="rect">
                      <a:avLst/>
                    </a:prstGeom>
                    <a:ln>
                      <a:noFill/>
                    </a:ln>
                    <a:extLst>
                      <a:ext uri="{53640926-AAD7-44D8-BBD7-CCE9431645EC}">
                        <a14:shadowObscured xmlns:a14="http://schemas.microsoft.com/office/drawing/2010/main"/>
                      </a:ext>
                    </a:extLst>
                  </pic:spPr>
                </pic:pic>
              </a:graphicData>
            </a:graphic>
          </wp:inline>
        </w:drawing>
      </w:r>
    </w:p>
    <w:p w:rsidR="00116B4D" w:rsidRDefault="00116B4D" w:rsidP="00116B4D">
      <w:pPr>
        <w:pStyle w:val="Heading3"/>
      </w:pPr>
      <w:r>
        <w:t>Total Attack by Year</w:t>
      </w:r>
    </w:p>
    <w:p w:rsidR="00116B4D" w:rsidRDefault="00116B4D" w:rsidP="00116B4D">
      <w:pPr>
        <w:pStyle w:val="NormalWeb"/>
      </w:pPr>
      <w:r>
        <w:t>Located in the bottom right, this line graph tracks the volume of attacks over a four-year timeline:</w:t>
      </w:r>
    </w:p>
    <w:p w:rsidR="00116B4D" w:rsidRDefault="00116B4D" w:rsidP="00116B4D">
      <w:pPr>
        <w:pStyle w:val="NormalWeb"/>
        <w:numPr>
          <w:ilvl w:val="0"/>
          <w:numId w:val="9"/>
        </w:numPr>
      </w:pPr>
      <w:r>
        <w:rPr>
          <w:b/>
          <w:bCs/>
        </w:rPr>
        <w:t>2020 to 2022:</w:t>
      </w:r>
      <w:r>
        <w:t xml:space="preserve"> The number of attacks remains stable, tracking steadily just above the 10K mark.</w:t>
      </w:r>
    </w:p>
    <w:p w:rsidR="00116B4D" w:rsidRDefault="00116B4D" w:rsidP="00116B4D">
      <w:pPr>
        <w:pStyle w:val="NormalWeb"/>
        <w:numPr>
          <w:ilvl w:val="0"/>
          <w:numId w:val="9"/>
        </w:numPr>
      </w:pPr>
      <w:r>
        <w:rPr>
          <w:b/>
          <w:bCs/>
        </w:rPr>
        <w:t>2023:</w:t>
      </w:r>
      <w:r>
        <w:t xml:space="preserve"> The trend line shows a sharp, noticeable decline in total attacks dropping below the 8K mark.</w:t>
      </w:r>
    </w:p>
    <w:p w:rsidR="00722E5B" w:rsidRPr="00244B68" w:rsidRDefault="00722E5B">
      <w:pPr>
        <w:pStyle w:val="Heading2"/>
        <w:spacing w:before="200" w:after="80"/>
        <w:rPr>
          <w:rFonts w:ascii="Times New Roman" w:hAnsi="Times New Roman" w:cs="Times New Roman"/>
        </w:rPr>
      </w:pPr>
    </w:p>
    <w:p w:rsidR="00722E5B" w:rsidRPr="00244B68" w:rsidRDefault="00FC4D79">
      <w:pPr>
        <w:pStyle w:val="Heading2"/>
        <w:spacing w:before="200" w:after="80"/>
        <w:rPr>
          <w:rFonts w:ascii="Times New Roman" w:hAnsi="Times New Roman" w:cs="Times New Roman"/>
        </w:rPr>
      </w:pPr>
      <w:r>
        <w:rPr>
          <w:rFonts w:ascii="Times New Roman" w:hAnsi="Times New Roman" w:cs="Times New Roman"/>
        </w:rPr>
        <w:t xml:space="preserve">                           </w:t>
      </w:r>
      <w:r>
        <w:rPr>
          <w:noProof/>
        </w:rPr>
        <w:drawing>
          <wp:inline distT="0" distB="0" distL="0" distR="0" wp14:anchorId="2969C5C3" wp14:editId="65EB0D9D">
            <wp:extent cx="4610100" cy="13716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44634" t="67646" r="30741" b="14667"/>
                    <a:stretch/>
                  </pic:blipFill>
                  <pic:spPr bwMode="auto">
                    <a:xfrm>
                      <a:off x="0" y="0"/>
                      <a:ext cx="4610100" cy="1371600"/>
                    </a:xfrm>
                    <a:prstGeom prst="rect">
                      <a:avLst/>
                    </a:prstGeom>
                    <a:ln>
                      <a:noFill/>
                    </a:ln>
                    <a:extLst>
                      <a:ext uri="{53640926-AAD7-44D8-BBD7-CCE9431645EC}">
                        <a14:shadowObscured xmlns:a14="http://schemas.microsoft.com/office/drawing/2010/main"/>
                      </a:ext>
                    </a:extLst>
                  </pic:spPr>
                </pic:pic>
              </a:graphicData>
            </a:graphic>
          </wp:inline>
        </w:drawing>
      </w:r>
      <w:r>
        <w:rPr>
          <w:rFonts w:ascii="Times New Roman" w:hAnsi="Times New Roman" w:cs="Times New Roman"/>
        </w:rPr>
        <w:t xml:space="preserve">                    </w:t>
      </w:r>
    </w:p>
    <w:p w:rsidR="00722E5B" w:rsidRPr="00244B68" w:rsidRDefault="00722E5B">
      <w:pPr>
        <w:spacing w:after="130" w:line="276" w:lineRule="auto"/>
        <w:jc w:val="both"/>
        <w:rPr>
          <w:rFonts w:ascii="Times New Roman" w:hAnsi="Times New Roman" w:cs="Times New Roman"/>
        </w:rPr>
      </w:pPr>
    </w:p>
    <w:p w:rsidR="00722E5B" w:rsidRPr="00244B68" w:rsidRDefault="00722E5B">
      <w:pPr>
        <w:spacing w:after="130" w:line="276" w:lineRule="auto"/>
        <w:jc w:val="both"/>
        <w:rPr>
          <w:rFonts w:ascii="Times New Roman" w:hAnsi="Times New Roman" w:cs="Times New Roman"/>
        </w:rPr>
      </w:pPr>
    </w:p>
    <w:p w:rsidR="002A7081" w:rsidRPr="00244B68" w:rsidRDefault="000A24F2">
      <w:pPr>
        <w:spacing w:after="130" w:line="276" w:lineRule="auto"/>
        <w:jc w:val="both"/>
        <w:rPr>
          <w:rFonts w:ascii="Times New Roman" w:hAnsi="Times New Roman" w:cs="Times New Roman"/>
        </w:rPr>
      </w:pPr>
      <w:r>
        <w:rPr>
          <w:rFonts w:ascii="Times New Roman" w:hAnsi="Times New Roman" w:cs="Times New Roman"/>
        </w:rPr>
        <w:lastRenderedPageBreak/>
        <w:t>This landing dashboard gives a portfolio-level overview of the entire threat environment. A Total Attack card headlines the volume at 40,000 events, flanked by High Severity and Low Severity KPI indicators. The Total Attacks by Year line chart tracks volume over 2020–2023, revealing a peak in 2022 and a tapering 2023 (partial year). The Severity by Attack Type clustered column chart compares High, Medium and Low counts across DDoS, Intrusion and Malware, while the Attack Type donut shows their near-equal split. The Action Taken over Attacks pie exposes the response mix (Blocked / Ignored / Logged), the Traffic Breakdown bar chart cross-tabulates Protocol against Traffic Type (DNS / HTTP / FTP), and the Geographic Spread map plots attack types across Indian states.</w:t>
      </w:r>
    </w:p>
    <w:p w:rsidR="00722E5B" w:rsidRPr="00244B68" w:rsidRDefault="00722E5B">
      <w:pPr>
        <w:pStyle w:val="Heading2"/>
        <w:spacing w:before="200" w:after="80"/>
        <w:rPr>
          <w:rFonts w:ascii="Times New Roman" w:hAnsi="Times New Roman" w:cs="Times New Roman"/>
          <w:color w:val="0F7FC4"/>
          <w:sz w:val="24"/>
          <w:szCs w:val="24"/>
        </w:rPr>
      </w:pPr>
    </w:p>
    <w:p w:rsidR="00722E5B" w:rsidRPr="00244B68" w:rsidRDefault="00722E5B">
      <w:pPr>
        <w:pStyle w:val="Heading2"/>
        <w:spacing w:before="200" w:after="80"/>
        <w:rPr>
          <w:rFonts w:ascii="Times New Roman" w:hAnsi="Times New Roman" w:cs="Times New Roman"/>
          <w:color w:val="0F7FC4"/>
          <w:sz w:val="24"/>
          <w:szCs w:val="24"/>
        </w:rPr>
      </w:pPr>
    </w:p>
    <w:p w:rsidR="002A7081" w:rsidRPr="00244B68" w:rsidRDefault="000A24F2">
      <w:pPr>
        <w:pStyle w:val="Heading2"/>
        <w:spacing w:before="200" w:after="80"/>
        <w:rPr>
          <w:rFonts w:ascii="Times New Roman" w:hAnsi="Times New Roman" w:cs="Times New Roman"/>
        </w:rPr>
      </w:pPr>
      <w:r>
        <w:rPr>
          <w:rFonts w:ascii="Segoe UI Symbol" w:hAnsi="Segoe UI Symbol" w:cs="Segoe UI Symbol"/>
          <w:color w:val="0F7FC4"/>
          <w:sz w:val="24"/>
          <w:szCs w:val="24"/>
        </w:rPr>
        <w:t>▍</w:t>
      </w:r>
      <w:r>
        <w:rPr>
          <w:rFonts w:ascii="Times New Roman" w:hAnsi="Times New Roman" w:cs="Times New Roman"/>
          <w:color w:val="0F7FC4"/>
          <w:sz w:val="24"/>
          <w:szCs w:val="24"/>
        </w:rPr>
        <w:t xml:space="preserve"> </w:t>
      </w:r>
      <w:r>
        <w:rPr>
          <w:rFonts w:ascii="Times New Roman" w:hAnsi="Times New Roman" w:cs="Times New Roman"/>
        </w:rPr>
        <w:t xml:space="preserve">Dashboard 2 </w:t>
      </w:r>
      <w:r w:rsidR="002B0252">
        <w:rPr>
          <w:rFonts w:ascii="Times New Roman" w:hAnsi="Times New Roman" w:cs="Times New Roman"/>
        </w:rPr>
        <w:t>-</w:t>
      </w:r>
      <w:r>
        <w:rPr>
          <w:rFonts w:ascii="Times New Roman" w:hAnsi="Times New Roman" w:cs="Times New Roman"/>
        </w:rPr>
        <w:t xml:space="preserve"> Threat Detection and Anomaly Analysis</w:t>
      </w:r>
    </w:p>
    <w:p w:rsidR="00722E5B" w:rsidRPr="00244B68" w:rsidRDefault="00722E5B">
      <w:pPr>
        <w:pStyle w:val="Heading2"/>
        <w:spacing w:before="200" w:after="80"/>
        <w:rPr>
          <w:rFonts w:ascii="Times New Roman" w:hAnsi="Times New Roman" w:cs="Times New Roman"/>
        </w:rPr>
      </w:pPr>
    </w:p>
    <w:p w:rsidR="00B365C4" w:rsidRDefault="00B365C4" w:rsidP="00B365C4">
      <w:pPr>
        <w:pStyle w:val="Heading3"/>
      </w:pPr>
      <w:r>
        <w:t>Dashboard Filters</w:t>
      </w:r>
    </w:p>
    <w:p w:rsidR="00B365C4" w:rsidRDefault="00B365C4" w:rsidP="00B365C4">
      <w:pPr>
        <w:pStyle w:val="NormalWeb"/>
      </w:pPr>
      <w:r>
        <w:t>Located at the top left, these three dropdowns and date pickers indicate that the data currently displayed on the dashboard is filtered for specific criteria:</w:t>
      </w:r>
    </w:p>
    <w:p w:rsidR="00B365C4" w:rsidRDefault="00B365C4" w:rsidP="00B365C4">
      <w:pPr>
        <w:pStyle w:val="NormalWeb"/>
        <w:numPr>
          <w:ilvl w:val="0"/>
          <w:numId w:val="10"/>
        </w:numPr>
      </w:pPr>
      <w:r>
        <w:rPr>
          <w:b/>
          <w:bCs/>
        </w:rPr>
        <w:t>Severity Level:</w:t>
      </w:r>
      <w:r>
        <w:t xml:space="preserve"> Currently set to filter for </w:t>
      </w:r>
      <w:r>
        <w:rPr>
          <w:b/>
          <w:bCs/>
        </w:rPr>
        <w:t>High</w:t>
      </w:r>
      <w:r>
        <w:t xml:space="preserve"> severity incidents.</w:t>
      </w:r>
    </w:p>
    <w:p w:rsidR="00B365C4" w:rsidRDefault="00B365C4" w:rsidP="00B365C4">
      <w:pPr>
        <w:pStyle w:val="NormalWeb"/>
        <w:numPr>
          <w:ilvl w:val="0"/>
          <w:numId w:val="10"/>
        </w:numPr>
      </w:pPr>
      <w:r>
        <w:rPr>
          <w:b/>
          <w:bCs/>
        </w:rPr>
        <w:t>Attack type:</w:t>
      </w:r>
      <w:r>
        <w:t xml:space="preserve"> Currently set to filter for </w:t>
      </w:r>
      <w:r>
        <w:rPr>
          <w:b/>
          <w:bCs/>
        </w:rPr>
        <w:t>DDoS</w:t>
      </w:r>
      <w:r>
        <w:t xml:space="preserve"> attacks.</w:t>
      </w:r>
    </w:p>
    <w:p w:rsidR="00B365C4" w:rsidRDefault="00B365C4" w:rsidP="00B365C4">
      <w:pPr>
        <w:pStyle w:val="NormalWeb"/>
        <w:numPr>
          <w:ilvl w:val="0"/>
          <w:numId w:val="10"/>
        </w:numPr>
      </w:pPr>
      <w:r>
        <w:rPr>
          <w:b/>
          <w:bCs/>
        </w:rPr>
        <w:t>Date:</w:t>
      </w:r>
      <w:r>
        <w:t xml:space="preserve"> The date range is restricted from </w:t>
      </w:r>
      <w:r>
        <w:rPr>
          <w:b/>
          <w:bCs/>
        </w:rPr>
        <w:t>03-01-2020</w:t>
      </w:r>
      <w:r>
        <w:t xml:space="preserve"> to </w:t>
      </w:r>
      <w:r>
        <w:rPr>
          <w:b/>
          <w:bCs/>
        </w:rPr>
        <w:t>05-10-2023</w:t>
      </w:r>
      <w:r>
        <w:t>.</w:t>
      </w:r>
    </w:p>
    <w:p w:rsidR="00FC4D79" w:rsidRDefault="00FC4D79" w:rsidP="00FC4D79">
      <w:pPr>
        <w:pStyle w:val="NormalWeb"/>
        <w:ind w:left="720"/>
      </w:pPr>
      <w:r>
        <w:rPr>
          <w:b/>
          <w:bCs/>
        </w:rPr>
        <w:t xml:space="preserve">                </w:t>
      </w:r>
      <w:r>
        <w:rPr>
          <w:noProof/>
        </w:rPr>
        <w:drawing>
          <wp:inline distT="0" distB="0" distL="0" distR="0" wp14:anchorId="3C14F68C" wp14:editId="533F122E">
            <wp:extent cx="5838825" cy="933450"/>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4926" t="27652" r="53519" b="63040"/>
                    <a:stretch/>
                  </pic:blipFill>
                  <pic:spPr bwMode="auto">
                    <a:xfrm>
                      <a:off x="0" y="0"/>
                      <a:ext cx="5838825" cy="933450"/>
                    </a:xfrm>
                    <a:prstGeom prst="rect">
                      <a:avLst/>
                    </a:prstGeom>
                    <a:ln>
                      <a:noFill/>
                    </a:ln>
                    <a:extLst>
                      <a:ext uri="{53640926-AAD7-44D8-BBD7-CCE9431645EC}">
                        <a14:shadowObscured xmlns:a14="http://schemas.microsoft.com/office/drawing/2010/main"/>
                      </a:ext>
                    </a:extLst>
                  </pic:spPr>
                </pic:pic>
              </a:graphicData>
            </a:graphic>
          </wp:inline>
        </w:drawing>
      </w:r>
    </w:p>
    <w:p w:rsidR="00FC4D79" w:rsidRDefault="00FC4D79" w:rsidP="00B365C4">
      <w:pPr>
        <w:pStyle w:val="Heading3"/>
      </w:pPr>
    </w:p>
    <w:p w:rsidR="00B365C4" w:rsidRDefault="00B365C4" w:rsidP="00B365C4">
      <w:pPr>
        <w:pStyle w:val="Heading3"/>
      </w:pPr>
      <w:r>
        <w:t>Avg Anomaly Score</w:t>
      </w:r>
    </w:p>
    <w:p w:rsidR="00B365C4" w:rsidRDefault="00B365C4" w:rsidP="00B365C4">
      <w:pPr>
        <w:pStyle w:val="NormalWeb"/>
      </w:pPr>
      <w:r>
        <w:t>This gauge chart on the middle-left displays the average anomaly score based on the applied filters:</w:t>
      </w:r>
    </w:p>
    <w:p w:rsidR="00B365C4" w:rsidRDefault="00B365C4" w:rsidP="00B365C4">
      <w:pPr>
        <w:pStyle w:val="NormalWeb"/>
        <w:numPr>
          <w:ilvl w:val="0"/>
          <w:numId w:val="11"/>
        </w:numPr>
      </w:pPr>
      <w:r>
        <w:rPr>
          <w:b/>
          <w:bCs/>
        </w:rPr>
        <w:t>Score:</w:t>
      </w:r>
      <w:r>
        <w:t xml:space="preserve"> The central number indicates an average score of </w:t>
      </w:r>
      <w:r>
        <w:rPr>
          <w:b/>
          <w:bCs/>
        </w:rPr>
        <w:t>50.26</w:t>
      </w:r>
      <w:r>
        <w:t>.</w:t>
      </w:r>
    </w:p>
    <w:p w:rsidR="00B365C4" w:rsidRDefault="00B365C4" w:rsidP="00B365C4">
      <w:pPr>
        <w:pStyle w:val="NormalWeb"/>
        <w:numPr>
          <w:ilvl w:val="0"/>
          <w:numId w:val="11"/>
        </w:numPr>
      </w:pPr>
      <w:r>
        <w:rPr>
          <w:b/>
          <w:bCs/>
        </w:rPr>
        <w:t>Scale:</w:t>
      </w:r>
      <w:r>
        <w:t xml:space="preserve"> The gauge ranges from a minimum of </w:t>
      </w:r>
      <w:r>
        <w:rPr>
          <w:b/>
          <w:bCs/>
        </w:rPr>
        <w:t>0.00</w:t>
      </w:r>
      <w:r>
        <w:t xml:space="preserve"> to a maximum of </w:t>
      </w:r>
      <w:r>
        <w:rPr>
          <w:b/>
          <w:bCs/>
        </w:rPr>
        <w:t>100.52</w:t>
      </w:r>
      <w:r>
        <w:t>. The blue fill represents the score sitting precisely at the halfway point of the scale.</w:t>
      </w:r>
    </w:p>
    <w:p w:rsidR="00FC4D79" w:rsidRDefault="00FC4D79" w:rsidP="00FC4D79">
      <w:pPr>
        <w:pStyle w:val="NormalWeb"/>
        <w:ind w:left="720"/>
      </w:pPr>
      <w:r>
        <w:t xml:space="preserve">                              </w:t>
      </w:r>
      <w:r>
        <w:rPr>
          <w:noProof/>
        </w:rPr>
        <w:drawing>
          <wp:inline distT="0" distB="0" distL="0" distR="0" wp14:anchorId="1519DF67" wp14:editId="1C9C1F01">
            <wp:extent cx="2971800" cy="14478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4925" t="36138" r="74605" b="41139"/>
                    <a:stretch/>
                  </pic:blipFill>
                  <pic:spPr bwMode="auto">
                    <a:xfrm>
                      <a:off x="0" y="0"/>
                      <a:ext cx="2971800" cy="1447800"/>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p>
    <w:p w:rsidR="00B365C4" w:rsidRDefault="00B365C4" w:rsidP="00B365C4">
      <w:pPr>
        <w:pStyle w:val="Heading3"/>
      </w:pPr>
      <w:r>
        <w:t>Cyber Attack by Browser</w:t>
      </w:r>
    </w:p>
    <w:p w:rsidR="00B365C4" w:rsidRDefault="00B365C4" w:rsidP="00B365C4">
      <w:pPr>
        <w:pStyle w:val="NormalWeb"/>
      </w:pPr>
      <w:r>
        <w:lastRenderedPageBreak/>
        <w:t>Positioned in the middle center, this horizontal bar chart compares the volume of attacks originating from or targeting specific web browsers:</w:t>
      </w:r>
    </w:p>
    <w:p w:rsidR="00B365C4" w:rsidRDefault="00B365C4" w:rsidP="00B365C4">
      <w:pPr>
        <w:pStyle w:val="NormalWeb"/>
        <w:numPr>
          <w:ilvl w:val="0"/>
          <w:numId w:val="12"/>
        </w:numPr>
      </w:pPr>
      <w:r>
        <w:rPr>
          <w:b/>
          <w:bCs/>
        </w:rPr>
        <w:t>Mozilla:</w:t>
      </w:r>
      <w:r>
        <w:t xml:space="preserve"> The green bar shows a significantly higher attack count, reaching approximately </w:t>
      </w:r>
      <w:r>
        <w:rPr>
          <w:b/>
          <w:bCs/>
        </w:rPr>
        <w:t>3.5K</w:t>
      </w:r>
      <w:r>
        <w:t>.</w:t>
      </w:r>
    </w:p>
    <w:p w:rsidR="00B365C4" w:rsidRDefault="00B365C4" w:rsidP="00B365C4">
      <w:pPr>
        <w:pStyle w:val="NormalWeb"/>
        <w:numPr>
          <w:ilvl w:val="0"/>
          <w:numId w:val="12"/>
        </w:numPr>
      </w:pPr>
      <w:r>
        <w:rPr>
          <w:b/>
          <w:bCs/>
        </w:rPr>
        <w:t>Opera:</w:t>
      </w:r>
      <w:r>
        <w:t xml:space="preserve"> The yellow bar indicates a lower attack count, sitting right at the </w:t>
      </w:r>
      <w:r>
        <w:rPr>
          <w:b/>
          <w:bCs/>
        </w:rPr>
        <w:t>1K</w:t>
      </w:r>
      <w:r>
        <w:t xml:space="preserve"> mark.</w:t>
      </w:r>
    </w:p>
    <w:p w:rsidR="00FC4D79" w:rsidRDefault="00FC4D79" w:rsidP="00FC4D79">
      <w:pPr>
        <w:pStyle w:val="NormalWeb"/>
        <w:ind w:left="720"/>
      </w:pPr>
      <w:r>
        <w:rPr>
          <w:b/>
          <w:bCs/>
        </w:rPr>
        <w:t xml:space="preserve">                        </w:t>
      </w:r>
      <w:r>
        <w:rPr>
          <w:noProof/>
        </w:rPr>
        <w:drawing>
          <wp:inline distT="0" distB="0" distL="0" distR="0" wp14:anchorId="7EE1CCE2" wp14:editId="6BDAA09C">
            <wp:extent cx="3590925" cy="1533525"/>
            <wp:effectExtent l="0" t="0" r="952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25462" t="36138" r="53673" b="41407"/>
                    <a:stretch/>
                  </pic:blipFill>
                  <pic:spPr bwMode="auto">
                    <a:xfrm>
                      <a:off x="0" y="0"/>
                      <a:ext cx="3590925" cy="1533525"/>
                    </a:xfrm>
                    <a:prstGeom prst="rect">
                      <a:avLst/>
                    </a:prstGeom>
                    <a:ln>
                      <a:noFill/>
                    </a:ln>
                    <a:extLst>
                      <a:ext uri="{53640926-AAD7-44D8-BBD7-CCE9431645EC}">
                        <a14:shadowObscured xmlns:a14="http://schemas.microsoft.com/office/drawing/2010/main"/>
                      </a:ext>
                    </a:extLst>
                  </pic:spPr>
                </pic:pic>
              </a:graphicData>
            </a:graphic>
          </wp:inline>
        </w:drawing>
      </w:r>
    </w:p>
    <w:p w:rsidR="00B365C4" w:rsidRDefault="00B365C4" w:rsidP="00B365C4">
      <w:pPr>
        <w:pStyle w:val="Heading3"/>
      </w:pPr>
      <w:r>
        <w:t>Attack Over Time (Anomaly Score Band)</w:t>
      </w:r>
    </w:p>
    <w:p w:rsidR="00B365C4" w:rsidRDefault="00B365C4" w:rsidP="00B365C4">
      <w:pPr>
        <w:pStyle w:val="NormalWeb"/>
      </w:pPr>
      <w:r>
        <w:t xml:space="preserve">Located on the right side, there is a notable discrepancy in this visual: the title says "Attack Over Time," but the visual is actually a donut chart representing </w:t>
      </w:r>
      <w:r>
        <w:rPr>
          <w:b/>
          <w:bCs/>
        </w:rPr>
        <w:t>Anomaly Score Bands</w:t>
      </w:r>
      <w:r>
        <w:t>. It shows an almost perfectly even distribution across four quartiles:</w:t>
      </w:r>
    </w:p>
    <w:p w:rsidR="00B365C4" w:rsidRDefault="00B365C4" w:rsidP="00B365C4">
      <w:pPr>
        <w:pStyle w:val="NormalWeb"/>
        <w:numPr>
          <w:ilvl w:val="0"/>
          <w:numId w:val="13"/>
        </w:numPr>
      </w:pPr>
      <w:r>
        <w:rPr>
          <w:b/>
          <w:bCs/>
        </w:rPr>
        <w:t>26-50</w:t>
      </w:r>
      <w:r>
        <w:t xml:space="preserve"> (Light Blue): 1K (25.58%)</w:t>
      </w:r>
    </w:p>
    <w:p w:rsidR="00B365C4" w:rsidRDefault="00B365C4" w:rsidP="00B365C4">
      <w:pPr>
        <w:pStyle w:val="NormalWeb"/>
        <w:numPr>
          <w:ilvl w:val="0"/>
          <w:numId w:val="13"/>
        </w:numPr>
      </w:pPr>
      <w:r>
        <w:rPr>
          <w:b/>
          <w:bCs/>
        </w:rPr>
        <w:t>76-100</w:t>
      </w:r>
      <w:r>
        <w:t xml:space="preserve"> (Dark Blue): 1K (25.32%)</w:t>
      </w:r>
    </w:p>
    <w:p w:rsidR="00B365C4" w:rsidRDefault="00B365C4" w:rsidP="00B365C4">
      <w:pPr>
        <w:pStyle w:val="NormalWeb"/>
        <w:numPr>
          <w:ilvl w:val="0"/>
          <w:numId w:val="13"/>
        </w:numPr>
      </w:pPr>
      <w:r>
        <w:rPr>
          <w:b/>
          <w:bCs/>
        </w:rPr>
        <w:t>0-25</w:t>
      </w:r>
      <w:r>
        <w:t xml:space="preserve"> (Orange): 1K (24.61%)</w:t>
      </w:r>
    </w:p>
    <w:p w:rsidR="00B365C4" w:rsidRDefault="00B365C4" w:rsidP="00B365C4">
      <w:pPr>
        <w:pStyle w:val="NormalWeb"/>
        <w:numPr>
          <w:ilvl w:val="0"/>
          <w:numId w:val="13"/>
        </w:numPr>
      </w:pPr>
      <w:r>
        <w:rPr>
          <w:b/>
          <w:bCs/>
        </w:rPr>
        <w:t>51-75</w:t>
      </w:r>
      <w:r>
        <w:t xml:space="preserve"> (Purple): 1K (24.49%)</w:t>
      </w:r>
    </w:p>
    <w:p w:rsidR="00FC4D79" w:rsidRDefault="00FC4D79" w:rsidP="00FC4D79">
      <w:pPr>
        <w:pStyle w:val="NormalWeb"/>
        <w:ind w:left="360"/>
        <w:rPr>
          <w:b/>
          <w:bCs/>
        </w:rPr>
      </w:pPr>
    </w:p>
    <w:p w:rsidR="00FC4D79" w:rsidRDefault="00FC4D79" w:rsidP="00FC4D79">
      <w:pPr>
        <w:pStyle w:val="NormalWeb"/>
        <w:ind w:left="360"/>
      </w:pPr>
      <w:r>
        <w:t xml:space="preserve">                             </w:t>
      </w:r>
      <w:r>
        <w:rPr>
          <w:noProof/>
        </w:rPr>
        <w:drawing>
          <wp:inline distT="0" distB="0" distL="0" distR="0" wp14:anchorId="5D4677BF" wp14:editId="1A671232">
            <wp:extent cx="3209925" cy="2247900"/>
            <wp:effectExtent l="0" t="0" r="952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46173" t="20477" r="30587" b="40701"/>
                    <a:stretch/>
                  </pic:blipFill>
                  <pic:spPr bwMode="auto">
                    <a:xfrm>
                      <a:off x="0" y="0"/>
                      <a:ext cx="3209925" cy="2247900"/>
                    </a:xfrm>
                    <a:prstGeom prst="rect">
                      <a:avLst/>
                    </a:prstGeom>
                    <a:ln>
                      <a:noFill/>
                    </a:ln>
                    <a:extLst>
                      <a:ext uri="{53640926-AAD7-44D8-BBD7-CCE9431645EC}">
                        <a14:shadowObscured xmlns:a14="http://schemas.microsoft.com/office/drawing/2010/main"/>
                      </a:ext>
                    </a:extLst>
                  </pic:spPr>
                </pic:pic>
              </a:graphicData>
            </a:graphic>
          </wp:inline>
        </w:drawing>
      </w:r>
    </w:p>
    <w:p w:rsidR="00B365C4" w:rsidRDefault="00B365C4" w:rsidP="00B365C4">
      <w:pPr>
        <w:pStyle w:val="Heading3"/>
      </w:pPr>
      <w:r>
        <w:t>Attack Count by States</w:t>
      </w:r>
    </w:p>
    <w:p w:rsidR="00B365C4" w:rsidRDefault="00B365C4" w:rsidP="00B365C4">
      <w:pPr>
        <w:pStyle w:val="NormalWeb"/>
      </w:pPr>
      <w:r>
        <w:t>Taking up the entire bottom section, this filled area chart visualizes the distribution of attacks across various Indian states:</w:t>
      </w:r>
    </w:p>
    <w:p w:rsidR="00B365C4" w:rsidRDefault="00B365C4" w:rsidP="00B365C4">
      <w:pPr>
        <w:pStyle w:val="NormalWeb"/>
        <w:numPr>
          <w:ilvl w:val="0"/>
          <w:numId w:val="14"/>
        </w:numPr>
      </w:pPr>
      <w:r>
        <w:rPr>
          <w:b/>
          <w:bCs/>
        </w:rPr>
        <w:t>X-Axis:</w:t>
      </w:r>
      <w:r>
        <w:t xml:space="preserve"> Lists numerous Indian states, starting with Haryana on the left and ending with Punjab on the right.</w:t>
      </w:r>
    </w:p>
    <w:p w:rsidR="00B365C4" w:rsidRDefault="00B365C4" w:rsidP="00B365C4">
      <w:pPr>
        <w:pStyle w:val="NormalWeb"/>
        <w:numPr>
          <w:ilvl w:val="0"/>
          <w:numId w:val="14"/>
        </w:numPr>
      </w:pPr>
      <w:r>
        <w:rPr>
          <w:b/>
          <w:bCs/>
        </w:rPr>
        <w:lastRenderedPageBreak/>
        <w:t>Y-Axis:</w:t>
      </w:r>
      <w:r>
        <w:t xml:space="preserve"> Represents the count of attacks, scaled from 120 up to 180.</w:t>
      </w:r>
    </w:p>
    <w:p w:rsidR="00B365C4" w:rsidRDefault="00B365C4" w:rsidP="00B365C4">
      <w:pPr>
        <w:pStyle w:val="NormalWeb"/>
        <w:numPr>
          <w:ilvl w:val="0"/>
          <w:numId w:val="14"/>
        </w:numPr>
      </w:pPr>
      <w:r>
        <w:rPr>
          <w:b/>
          <w:bCs/>
        </w:rPr>
        <w:t>Trend:</w:t>
      </w:r>
      <w:r>
        <w:t xml:space="preserve"> The chart displays a smooth, gradual downward slope. Haryana records the highest number of attacks (approaching 180), while the volume steadily decreases across the listed states, with Punjab recording the lowest count (dropping down to 120).</w:t>
      </w:r>
    </w:p>
    <w:p w:rsidR="002A7081" w:rsidRPr="00244B68" w:rsidRDefault="002A7081">
      <w:pPr>
        <w:spacing w:before="120" w:after="20"/>
        <w:jc w:val="center"/>
        <w:rPr>
          <w:rFonts w:ascii="Times New Roman" w:hAnsi="Times New Roman" w:cs="Times New Roman"/>
        </w:rPr>
      </w:pPr>
    </w:p>
    <w:p w:rsidR="00722E5B" w:rsidRPr="00244B68" w:rsidRDefault="00FC4D79">
      <w:pPr>
        <w:spacing w:before="40" w:after="200"/>
        <w:jc w:val="center"/>
        <w:rPr>
          <w:rFonts w:ascii="Times New Roman" w:hAnsi="Times New Roman" w:cs="Times New Roman"/>
          <w:i/>
          <w:iCs/>
          <w:color w:val="5B6B7B"/>
          <w:sz w:val="18"/>
          <w:szCs w:val="18"/>
        </w:rPr>
      </w:pPr>
      <w:r>
        <w:rPr>
          <w:noProof/>
        </w:rPr>
        <w:drawing>
          <wp:inline distT="0" distB="0" distL="0" distR="0" wp14:anchorId="111B7330" wp14:editId="5E13BAB4">
            <wp:extent cx="5553075" cy="155257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4617" t="58314" r="30740" b="15130"/>
                    <a:stretch/>
                  </pic:blipFill>
                  <pic:spPr bwMode="auto">
                    <a:xfrm>
                      <a:off x="0" y="0"/>
                      <a:ext cx="5553075" cy="1552575"/>
                    </a:xfrm>
                    <a:prstGeom prst="rect">
                      <a:avLst/>
                    </a:prstGeom>
                    <a:ln>
                      <a:noFill/>
                    </a:ln>
                    <a:extLst>
                      <a:ext uri="{53640926-AAD7-44D8-BBD7-CCE9431645EC}">
                        <a14:shadowObscured xmlns:a14="http://schemas.microsoft.com/office/drawing/2010/main"/>
                      </a:ext>
                    </a:extLst>
                  </pic:spPr>
                </pic:pic>
              </a:graphicData>
            </a:graphic>
          </wp:inline>
        </w:drawing>
      </w:r>
    </w:p>
    <w:p w:rsidR="00722E5B" w:rsidRPr="00244B68" w:rsidRDefault="00722E5B">
      <w:pPr>
        <w:spacing w:before="40" w:after="200"/>
        <w:jc w:val="center"/>
        <w:rPr>
          <w:rFonts w:ascii="Times New Roman" w:hAnsi="Times New Roman" w:cs="Times New Roman"/>
          <w:i/>
          <w:iCs/>
          <w:color w:val="5B6B7B"/>
          <w:sz w:val="18"/>
          <w:szCs w:val="18"/>
        </w:rPr>
      </w:pPr>
    </w:p>
    <w:p w:rsidR="00722E5B" w:rsidRPr="00244B68" w:rsidRDefault="00722E5B">
      <w:pPr>
        <w:spacing w:before="40" w:after="200"/>
        <w:jc w:val="center"/>
        <w:rPr>
          <w:rFonts w:ascii="Times New Roman" w:hAnsi="Times New Roman" w:cs="Times New Roman"/>
        </w:rPr>
      </w:pPr>
    </w:p>
    <w:p w:rsidR="002A7081" w:rsidRPr="00244B68" w:rsidRDefault="000A24F2">
      <w:pPr>
        <w:spacing w:after="130" w:line="276" w:lineRule="auto"/>
        <w:jc w:val="both"/>
        <w:rPr>
          <w:rFonts w:ascii="Times New Roman" w:hAnsi="Times New Roman" w:cs="Times New Roman"/>
        </w:rPr>
      </w:pPr>
      <w:r>
        <w:rPr>
          <w:rFonts w:ascii="Times New Roman" w:hAnsi="Times New Roman" w:cs="Times New Roman"/>
        </w:rPr>
        <w:t>This page focuses on anomaly-based detection and is driven by Date, Severity Level and Attack Type slicers for interactive filtering. The Avg Anomaly Score gauge summarises detection risk at 50.1 out of 100. The Attacks by Anomaly Band donut distributes events across the four score bands; the Cyber Attacks by Browser bar chart contrasts Mozilla and Opera exposure; and the Attack Count by State area/column chart shows the geographic concentration of incidents. Together these visuals help analysts isolate high-anomaly, high-severity segments quickly.</w:t>
      </w:r>
    </w:p>
    <w:p w:rsidR="00722E5B" w:rsidRPr="00244B68" w:rsidRDefault="00722E5B">
      <w:pPr>
        <w:spacing w:after="130" w:line="276" w:lineRule="auto"/>
        <w:jc w:val="both"/>
        <w:rPr>
          <w:rFonts w:ascii="Times New Roman" w:hAnsi="Times New Roman" w:cs="Times New Roman"/>
        </w:rPr>
      </w:pPr>
    </w:p>
    <w:p w:rsidR="00722E5B" w:rsidRDefault="00722E5B">
      <w:pPr>
        <w:spacing w:after="130" w:line="276" w:lineRule="auto"/>
        <w:jc w:val="both"/>
        <w:rPr>
          <w:rFonts w:ascii="Times New Roman" w:hAnsi="Times New Roman" w:cs="Times New Roman"/>
        </w:rPr>
      </w:pPr>
    </w:p>
    <w:p w:rsidR="00FC4D79" w:rsidRPr="00244B68" w:rsidRDefault="00FC4D79">
      <w:pPr>
        <w:spacing w:after="130" w:line="276" w:lineRule="auto"/>
        <w:jc w:val="both"/>
        <w:rPr>
          <w:rFonts w:ascii="Times New Roman" w:hAnsi="Times New Roman" w:cs="Times New Roman"/>
        </w:rPr>
      </w:pPr>
    </w:p>
    <w:p w:rsidR="002A7081" w:rsidRPr="00244B68" w:rsidRDefault="000A24F2">
      <w:pPr>
        <w:pStyle w:val="Heading2"/>
        <w:spacing w:before="200" w:after="80"/>
        <w:rPr>
          <w:rFonts w:ascii="Times New Roman" w:hAnsi="Times New Roman" w:cs="Times New Roman"/>
        </w:rPr>
      </w:pPr>
      <w:r>
        <w:rPr>
          <w:rFonts w:ascii="Segoe UI Symbol" w:hAnsi="Segoe UI Symbol" w:cs="Segoe UI Symbol"/>
          <w:color w:val="0F7FC4"/>
          <w:sz w:val="24"/>
          <w:szCs w:val="24"/>
        </w:rPr>
        <w:t>▍</w:t>
      </w:r>
      <w:r>
        <w:rPr>
          <w:rFonts w:ascii="Times New Roman" w:hAnsi="Times New Roman" w:cs="Times New Roman"/>
          <w:color w:val="0F7FC4"/>
          <w:sz w:val="24"/>
          <w:szCs w:val="24"/>
        </w:rPr>
        <w:t xml:space="preserve"> </w:t>
      </w:r>
      <w:r>
        <w:rPr>
          <w:rFonts w:ascii="Times New Roman" w:hAnsi="Times New Roman" w:cs="Times New Roman"/>
        </w:rPr>
        <w:t xml:space="preserve">Dashboard 3 </w:t>
      </w:r>
      <w:r w:rsidR="002B0252">
        <w:rPr>
          <w:rFonts w:ascii="Times New Roman" w:hAnsi="Times New Roman" w:cs="Times New Roman"/>
        </w:rPr>
        <w:t>-</w:t>
      </w:r>
      <w:r>
        <w:rPr>
          <w:rFonts w:ascii="Times New Roman" w:hAnsi="Times New Roman" w:cs="Times New Roman"/>
        </w:rPr>
        <w:t xml:space="preserve"> Network Traffic Analysis</w:t>
      </w:r>
    </w:p>
    <w:p w:rsidR="00722E5B" w:rsidRPr="00244B68" w:rsidRDefault="00722E5B">
      <w:pPr>
        <w:pStyle w:val="Heading2"/>
        <w:spacing w:before="200" w:after="80"/>
        <w:rPr>
          <w:rFonts w:ascii="Times New Roman" w:hAnsi="Times New Roman" w:cs="Times New Roman"/>
        </w:rPr>
      </w:pPr>
    </w:p>
    <w:p w:rsidR="00A76B0D" w:rsidRDefault="00A76B0D" w:rsidP="00A76B0D">
      <w:pPr>
        <w:pStyle w:val="Heading3"/>
      </w:pPr>
      <w:r>
        <w:t>Protocol vs Action Taken</w:t>
      </w:r>
    </w:p>
    <w:p w:rsidR="00A76B0D" w:rsidRDefault="00A76B0D" w:rsidP="00A76B0D">
      <w:pPr>
        <w:pStyle w:val="NormalWeb"/>
      </w:pPr>
      <w:r>
        <w:t>Located in the top-left corner, this stacked column chart illustrates how the security system responded to attacks across different network protocols:</w:t>
      </w:r>
    </w:p>
    <w:p w:rsidR="00A76B0D" w:rsidRDefault="00A76B0D" w:rsidP="00A76B0D">
      <w:pPr>
        <w:pStyle w:val="NormalWeb"/>
        <w:numPr>
          <w:ilvl w:val="0"/>
          <w:numId w:val="15"/>
        </w:numPr>
      </w:pPr>
      <w:r>
        <w:rPr>
          <w:b/>
          <w:bCs/>
        </w:rPr>
        <w:t>X-Axis (Protocol):</w:t>
      </w:r>
      <w:r>
        <w:t xml:space="preserve"> ICMP, UDP, and TCP.</w:t>
      </w:r>
    </w:p>
    <w:p w:rsidR="00A76B0D" w:rsidRDefault="00A76B0D" w:rsidP="00A76B0D">
      <w:pPr>
        <w:pStyle w:val="NormalWeb"/>
        <w:numPr>
          <w:ilvl w:val="0"/>
          <w:numId w:val="15"/>
        </w:numPr>
      </w:pPr>
      <w:r>
        <w:rPr>
          <w:b/>
          <w:bCs/>
        </w:rPr>
        <w:t>Y-Axis (Attack):</w:t>
      </w:r>
      <w:r>
        <w:t xml:space="preserve"> Measures the volume of attacks, reaching just under 14K for each column.</w:t>
      </w:r>
    </w:p>
    <w:p w:rsidR="00A76B0D" w:rsidRDefault="00A76B0D" w:rsidP="00A76B0D">
      <w:pPr>
        <w:pStyle w:val="NormalWeb"/>
        <w:numPr>
          <w:ilvl w:val="0"/>
          <w:numId w:val="15"/>
        </w:numPr>
      </w:pPr>
      <w:r>
        <w:rPr>
          <w:b/>
          <w:bCs/>
        </w:rPr>
        <w:t>Categories:</w:t>
      </w:r>
      <w:r>
        <w:t xml:space="preserve"> Each protocol's column is evenly split into three actions taken: </w:t>
      </w:r>
      <w:r>
        <w:rPr>
          <w:b/>
          <w:bCs/>
        </w:rPr>
        <w:t>Blocked</w:t>
      </w:r>
      <w:r>
        <w:t xml:space="preserve"> (Light Blue), </w:t>
      </w:r>
      <w:r>
        <w:rPr>
          <w:b/>
          <w:bCs/>
        </w:rPr>
        <w:t>Ignored</w:t>
      </w:r>
      <w:r>
        <w:t xml:space="preserve"> (Dark Blue), and </w:t>
      </w:r>
      <w:r>
        <w:rPr>
          <w:b/>
          <w:bCs/>
        </w:rPr>
        <w:t>Logged</w:t>
      </w:r>
      <w:r>
        <w:t xml:space="preserve"> (Orange).</w:t>
      </w:r>
    </w:p>
    <w:p w:rsidR="00A76B0D" w:rsidRDefault="00A76B0D" w:rsidP="00A76B0D">
      <w:pPr>
        <w:pStyle w:val="NormalWeb"/>
        <w:numPr>
          <w:ilvl w:val="0"/>
          <w:numId w:val="15"/>
        </w:numPr>
      </w:pPr>
      <w:r>
        <w:rPr>
          <w:b/>
          <w:bCs/>
        </w:rPr>
        <w:t>Trend:</w:t>
      </w:r>
      <w:r>
        <w:t xml:space="preserve"> The distribution of attacks and the subsequent actions taken are virtually identical across all three protocols.</w:t>
      </w:r>
    </w:p>
    <w:p w:rsidR="005D1643" w:rsidRDefault="005D1643" w:rsidP="005D1643">
      <w:pPr>
        <w:pStyle w:val="NormalWeb"/>
        <w:ind w:left="720"/>
      </w:pPr>
      <w:r>
        <w:lastRenderedPageBreak/>
        <w:t xml:space="preserve">                     </w:t>
      </w:r>
      <w:r>
        <w:rPr>
          <w:noProof/>
        </w:rPr>
        <w:drawing>
          <wp:inline distT="0" distB="0" distL="0" distR="0" wp14:anchorId="162F2990" wp14:editId="0CCEB593">
            <wp:extent cx="3457575" cy="2038350"/>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7850" t="26283" r="73527" b="38127"/>
                    <a:stretch/>
                  </pic:blipFill>
                  <pic:spPr bwMode="auto">
                    <a:xfrm>
                      <a:off x="0" y="0"/>
                      <a:ext cx="3457575" cy="2038350"/>
                    </a:xfrm>
                    <a:prstGeom prst="rect">
                      <a:avLst/>
                    </a:prstGeom>
                    <a:ln>
                      <a:noFill/>
                    </a:ln>
                    <a:extLst>
                      <a:ext uri="{53640926-AAD7-44D8-BBD7-CCE9431645EC}">
                        <a14:shadowObscured xmlns:a14="http://schemas.microsoft.com/office/drawing/2010/main"/>
                      </a:ext>
                    </a:extLst>
                  </pic:spPr>
                </pic:pic>
              </a:graphicData>
            </a:graphic>
          </wp:inline>
        </w:drawing>
      </w:r>
    </w:p>
    <w:p w:rsidR="00A76B0D" w:rsidRDefault="00A76B0D" w:rsidP="00A76B0D">
      <w:pPr>
        <w:pStyle w:val="Heading3"/>
      </w:pPr>
      <w:r>
        <w:t>Average of Packet Length by Protocol</w:t>
      </w:r>
    </w:p>
    <w:p w:rsidR="00A76B0D" w:rsidRDefault="00A76B0D" w:rsidP="00A76B0D">
      <w:pPr>
        <w:pStyle w:val="NormalWeb"/>
      </w:pPr>
      <w:r>
        <w:t>Positioned in the top-middle, this treemap visualizes the proportion of the average packet length associated with each protocol:</w:t>
      </w:r>
    </w:p>
    <w:p w:rsidR="00A76B0D" w:rsidRDefault="00A76B0D" w:rsidP="00A76B0D">
      <w:pPr>
        <w:pStyle w:val="NormalWeb"/>
        <w:numPr>
          <w:ilvl w:val="0"/>
          <w:numId w:val="16"/>
        </w:numPr>
      </w:pPr>
      <w:r>
        <w:rPr>
          <w:b/>
          <w:bCs/>
        </w:rPr>
        <w:t>TCP</w:t>
      </w:r>
      <w:r>
        <w:t xml:space="preserve"> (Dark Blue) occupies the entire right half of the visual, indicating a significant portion of the average packet length.</w:t>
      </w:r>
    </w:p>
    <w:p w:rsidR="00A76B0D" w:rsidRDefault="00A76B0D" w:rsidP="00A76B0D">
      <w:pPr>
        <w:pStyle w:val="NormalWeb"/>
        <w:numPr>
          <w:ilvl w:val="0"/>
          <w:numId w:val="16"/>
        </w:numPr>
      </w:pPr>
      <w:r>
        <w:rPr>
          <w:b/>
          <w:bCs/>
        </w:rPr>
        <w:t>ICMP</w:t>
      </w:r>
      <w:r>
        <w:t xml:space="preserve"> (Light Blue) and </w:t>
      </w:r>
      <w:r>
        <w:rPr>
          <w:b/>
          <w:bCs/>
        </w:rPr>
        <w:t>UDP</w:t>
      </w:r>
      <w:r>
        <w:t xml:space="preserve"> (Orange) share the left half, with ICMP situated at the top and UDP at the bottom.</w:t>
      </w:r>
    </w:p>
    <w:p w:rsidR="005D1643" w:rsidRDefault="005D1643" w:rsidP="005D1643">
      <w:pPr>
        <w:pStyle w:val="NormalWeb"/>
        <w:ind w:left="720"/>
      </w:pPr>
      <w:r>
        <w:t xml:space="preserve">                                  </w:t>
      </w:r>
      <w:r>
        <w:rPr>
          <w:noProof/>
        </w:rPr>
        <w:drawing>
          <wp:inline distT="0" distB="0" distL="0" distR="0" wp14:anchorId="4D73AB6E" wp14:editId="09925149">
            <wp:extent cx="2895600" cy="149542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26164" t="26556" r="60907" b="53459"/>
                    <a:stretch/>
                  </pic:blipFill>
                  <pic:spPr bwMode="auto">
                    <a:xfrm>
                      <a:off x="0" y="0"/>
                      <a:ext cx="2895600" cy="1495425"/>
                    </a:xfrm>
                    <a:prstGeom prst="rect">
                      <a:avLst/>
                    </a:prstGeom>
                    <a:ln>
                      <a:noFill/>
                    </a:ln>
                    <a:extLst>
                      <a:ext uri="{53640926-AAD7-44D8-BBD7-CCE9431645EC}">
                        <a14:shadowObscured xmlns:a14="http://schemas.microsoft.com/office/drawing/2010/main"/>
                      </a:ext>
                    </a:extLst>
                  </pic:spPr>
                </pic:pic>
              </a:graphicData>
            </a:graphic>
          </wp:inline>
        </w:drawing>
      </w:r>
    </w:p>
    <w:p w:rsidR="00A76B0D" w:rsidRDefault="00A76B0D" w:rsidP="00A76B0D">
      <w:pPr>
        <w:pStyle w:val="Heading3"/>
      </w:pPr>
      <w:r>
        <w:t>Protocol vs Severity</w:t>
      </w:r>
    </w:p>
    <w:p w:rsidR="00A76B0D" w:rsidRDefault="00A76B0D" w:rsidP="00A76B0D">
      <w:pPr>
        <w:pStyle w:val="NormalWeb"/>
      </w:pPr>
      <w:r>
        <w:t>Found directly below the treemap, this table acts as a heatmap detailing the exact count of attacks by protocol and severity level:</w:t>
      </w:r>
    </w:p>
    <w:p w:rsidR="00A76B0D" w:rsidRDefault="00A76B0D" w:rsidP="00A76B0D">
      <w:pPr>
        <w:pStyle w:val="NormalWeb"/>
        <w:numPr>
          <w:ilvl w:val="0"/>
          <w:numId w:val="17"/>
        </w:numPr>
      </w:pPr>
      <w:r>
        <w:rPr>
          <w:b/>
          <w:bCs/>
        </w:rPr>
        <w:t>Rows:</w:t>
      </w:r>
      <w:r>
        <w:t xml:space="preserve"> ICMP, TCP, UDP.</w:t>
      </w:r>
    </w:p>
    <w:p w:rsidR="00A76B0D" w:rsidRDefault="00A76B0D" w:rsidP="00A76B0D">
      <w:pPr>
        <w:pStyle w:val="NormalWeb"/>
        <w:numPr>
          <w:ilvl w:val="0"/>
          <w:numId w:val="17"/>
        </w:numPr>
      </w:pPr>
      <w:r>
        <w:rPr>
          <w:b/>
          <w:bCs/>
        </w:rPr>
        <w:t>Columns:</w:t>
      </w:r>
      <w:r>
        <w:t xml:space="preserve"> High (Red), Low (Green), Medium (Yellow).</w:t>
      </w:r>
    </w:p>
    <w:p w:rsidR="00A76B0D" w:rsidRDefault="00A76B0D" w:rsidP="00A76B0D">
      <w:pPr>
        <w:pStyle w:val="NormalWeb"/>
        <w:numPr>
          <w:ilvl w:val="0"/>
          <w:numId w:val="17"/>
        </w:numPr>
      </w:pPr>
      <w:r>
        <w:rPr>
          <w:b/>
          <w:bCs/>
        </w:rPr>
        <w:t>Data:</w:t>
      </w:r>
      <w:r>
        <w:t xml:space="preserve"> The attack counts are highly uniform across all intersections, ranging narrowly from </w:t>
      </w:r>
      <w:r>
        <w:rPr>
          <w:b/>
          <w:bCs/>
        </w:rPr>
        <w:t>4292</w:t>
      </w:r>
      <w:r>
        <w:t xml:space="preserve"> (UDP - Low) to </w:t>
      </w:r>
      <w:r>
        <w:rPr>
          <w:b/>
          <w:bCs/>
        </w:rPr>
        <w:t>4552</w:t>
      </w:r>
      <w:r>
        <w:t xml:space="preserve"> (UDP - Medium), indicating no single protocol is disproportionately favored for high-severity attacks.</w:t>
      </w:r>
    </w:p>
    <w:p w:rsidR="005D1643" w:rsidRDefault="005D1643" w:rsidP="005D1643">
      <w:pPr>
        <w:pStyle w:val="NormalWeb"/>
        <w:ind w:left="720"/>
      </w:pPr>
      <w:r>
        <w:t xml:space="preserve">             </w:t>
      </w:r>
      <w:r>
        <w:rPr>
          <w:noProof/>
        </w:rPr>
        <w:drawing>
          <wp:inline distT="0" distB="0" distL="0" distR="0" wp14:anchorId="5DCF6A9D" wp14:editId="32A9478D">
            <wp:extent cx="3162300" cy="13906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26299" t="46937" r="60032" b="36799"/>
                    <a:stretch/>
                  </pic:blipFill>
                  <pic:spPr bwMode="auto">
                    <a:xfrm>
                      <a:off x="0" y="0"/>
                      <a:ext cx="3162300" cy="1390650"/>
                    </a:xfrm>
                    <a:prstGeom prst="rect">
                      <a:avLst/>
                    </a:prstGeom>
                    <a:ln>
                      <a:noFill/>
                    </a:ln>
                    <a:extLst>
                      <a:ext uri="{53640926-AAD7-44D8-BBD7-CCE9431645EC}">
                        <a14:shadowObscured xmlns:a14="http://schemas.microsoft.com/office/drawing/2010/main"/>
                      </a:ext>
                    </a:extLst>
                  </pic:spPr>
                </pic:pic>
              </a:graphicData>
            </a:graphic>
          </wp:inline>
        </w:drawing>
      </w:r>
    </w:p>
    <w:p w:rsidR="00A76B0D" w:rsidRDefault="00A76B0D" w:rsidP="00A76B0D">
      <w:pPr>
        <w:pStyle w:val="Heading3"/>
      </w:pPr>
      <w:r>
        <w:lastRenderedPageBreak/>
        <w:t>Packet Type by Severity</w:t>
      </w:r>
    </w:p>
    <w:p w:rsidR="00A76B0D" w:rsidRDefault="00A76B0D" w:rsidP="00A76B0D">
      <w:pPr>
        <w:pStyle w:val="NormalWeb"/>
      </w:pPr>
      <w:r>
        <w:t>Located in the top-right, this stacked horizontal bar chart breaks down severity levels by the type of network packet involved:</w:t>
      </w:r>
    </w:p>
    <w:p w:rsidR="00A76B0D" w:rsidRDefault="00A76B0D" w:rsidP="00A76B0D">
      <w:pPr>
        <w:pStyle w:val="NormalWeb"/>
        <w:numPr>
          <w:ilvl w:val="0"/>
          <w:numId w:val="18"/>
        </w:numPr>
      </w:pPr>
      <w:r>
        <w:rPr>
          <w:b/>
          <w:bCs/>
        </w:rPr>
        <w:t>Y-Axis:</w:t>
      </w:r>
      <w:r>
        <w:t xml:space="preserve"> Severity Level (Medium, High, Low).</w:t>
      </w:r>
    </w:p>
    <w:p w:rsidR="00A76B0D" w:rsidRDefault="00A76B0D" w:rsidP="00A76B0D">
      <w:pPr>
        <w:pStyle w:val="NormalWeb"/>
        <w:numPr>
          <w:ilvl w:val="0"/>
          <w:numId w:val="18"/>
        </w:numPr>
      </w:pPr>
      <w:r>
        <w:rPr>
          <w:b/>
          <w:bCs/>
        </w:rPr>
        <w:t>X-Axis:</w:t>
      </w:r>
      <w:r>
        <w:t xml:space="preserve"> Total attack count, reaching just above 10K per severity level.</w:t>
      </w:r>
    </w:p>
    <w:p w:rsidR="00A76B0D" w:rsidRDefault="00A76B0D" w:rsidP="00A76B0D">
      <w:pPr>
        <w:pStyle w:val="NormalWeb"/>
        <w:numPr>
          <w:ilvl w:val="0"/>
          <w:numId w:val="18"/>
        </w:numPr>
      </w:pPr>
      <w:r>
        <w:rPr>
          <w:b/>
          <w:bCs/>
        </w:rPr>
        <w:t>Categories:</w:t>
      </w:r>
      <w:r>
        <w:t xml:space="preserve"> Each severity bar is split into </w:t>
      </w:r>
      <w:r>
        <w:rPr>
          <w:b/>
          <w:bCs/>
        </w:rPr>
        <w:t>Control</w:t>
      </w:r>
      <w:r>
        <w:t xml:space="preserve"> packets (Light Blue) and </w:t>
      </w:r>
      <w:r>
        <w:rPr>
          <w:b/>
          <w:bCs/>
        </w:rPr>
        <w:t>Data</w:t>
      </w:r>
      <w:r>
        <w:t xml:space="preserve"> packets (Dark Blue). The split is perfectly even (approximately 50/50) across all three severity levels.</w:t>
      </w:r>
    </w:p>
    <w:p w:rsidR="005D1643" w:rsidRDefault="005D1643" w:rsidP="005D1643">
      <w:pPr>
        <w:pStyle w:val="NormalWeb"/>
        <w:ind w:left="720"/>
      </w:pPr>
      <w:r>
        <w:rPr>
          <w:noProof/>
        </w:rPr>
        <w:drawing>
          <wp:inline distT="0" distB="0" distL="0" distR="0" wp14:anchorId="25A58519" wp14:editId="7182FDD5">
            <wp:extent cx="4962525" cy="145732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38938" t="20533" r="34281" b="60850"/>
                    <a:stretch/>
                  </pic:blipFill>
                  <pic:spPr bwMode="auto">
                    <a:xfrm>
                      <a:off x="0" y="0"/>
                      <a:ext cx="4962525" cy="1457325"/>
                    </a:xfrm>
                    <a:prstGeom prst="rect">
                      <a:avLst/>
                    </a:prstGeom>
                    <a:ln>
                      <a:noFill/>
                    </a:ln>
                    <a:extLst>
                      <a:ext uri="{53640926-AAD7-44D8-BBD7-CCE9431645EC}">
                        <a14:shadowObscured xmlns:a14="http://schemas.microsoft.com/office/drawing/2010/main"/>
                      </a:ext>
                    </a:extLst>
                  </pic:spPr>
                </pic:pic>
              </a:graphicData>
            </a:graphic>
          </wp:inline>
        </w:drawing>
      </w:r>
    </w:p>
    <w:p w:rsidR="00A76B0D" w:rsidRDefault="00A76B0D" w:rsidP="00A76B0D">
      <w:pPr>
        <w:pStyle w:val="Heading3"/>
      </w:pPr>
      <w:r>
        <w:t>Total Number of Packet Type</w:t>
      </w:r>
    </w:p>
    <w:p w:rsidR="00A76B0D" w:rsidRDefault="00A76B0D" w:rsidP="00A76B0D">
      <w:pPr>
        <w:pStyle w:val="NormalWeb"/>
      </w:pPr>
      <w:r>
        <w:t>Positioned in the middle-right, this donut chart provides a straightforward summary of the overall packet types involved in the recorded attacks:</w:t>
      </w:r>
    </w:p>
    <w:p w:rsidR="00A76B0D" w:rsidRDefault="00A76B0D" w:rsidP="00A76B0D">
      <w:pPr>
        <w:pStyle w:val="NormalWeb"/>
        <w:numPr>
          <w:ilvl w:val="0"/>
          <w:numId w:val="19"/>
        </w:numPr>
      </w:pPr>
      <w:r>
        <w:rPr>
          <w:b/>
          <w:bCs/>
        </w:rPr>
        <w:t>Control</w:t>
      </w:r>
      <w:r>
        <w:t xml:space="preserve"> (Light Blue): </w:t>
      </w:r>
      <w:r>
        <w:rPr>
          <w:b/>
          <w:bCs/>
        </w:rPr>
        <w:t>20.24K</w:t>
      </w:r>
      <w:r>
        <w:t xml:space="preserve"> packets, representing </w:t>
      </w:r>
      <w:r>
        <w:rPr>
          <w:b/>
          <w:bCs/>
        </w:rPr>
        <w:t>50.59%</w:t>
      </w:r>
      <w:r>
        <w:t xml:space="preserve"> of the total.</w:t>
      </w:r>
    </w:p>
    <w:p w:rsidR="00A76B0D" w:rsidRDefault="00A76B0D" w:rsidP="00A76B0D">
      <w:pPr>
        <w:pStyle w:val="NormalWeb"/>
        <w:numPr>
          <w:ilvl w:val="0"/>
          <w:numId w:val="19"/>
        </w:numPr>
      </w:pPr>
      <w:r>
        <w:rPr>
          <w:b/>
          <w:bCs/>
        </w:rPr>
        <w:t>Data</w:t>
      </w:r>
      <w:r>
        <w:t xml:space="preserve"> (Dark Blue): </w:t>
      </w:r>
      <w:r>
        <w:rPr>
          <w:b/>
          <w:bCs/>
        </w:rPr>
        <w:t>19.76K</w:t>
      </w:r>
      <w:r>
        <w:t xml:space="preserve"> packets, representing </w:t>
      </w:r>
      <w:r>
        <w:rPr>
          <w:b/>
          <w:bCs/>
        </w:rPr>
        <w:t>49.41%</w:t>
      </w:r>
      <w:r>
        <w:t xml:space="preserve"> of the total.</w:t>
      </w:r>
    </w:p>
    <w:p w:rsidR="00A76B0D" w:rsidRDefault="00A76B0D" w:rsidP="00A76B0D">
      <w:pPr>
        <w:pStyle w:val="NormalWeb"/>
        <w:numPr>
          <w:ilvl w:val="0"/>
          <w:numId w:val="19"/>
        </w:numPr>
      </w:pPr>
      <w:r>
        <w:t>This confirms an almost equal distribution between control and data packets overall.</w:t>
      </w:r>
    </w:p>
    <w:p w:rsidR="005D1643" w:rsidRDefault="005D1643" w:rsidP="005D1643">
      <w:pPr>
        <w:pStyle w:val="NormalWeb"/>
        <w:ind w:left="720"/>
      </w:pPr>
      <w:r>
        <w:t xml:space="preserve">         </w:t>
      </w:r>
      <w:r>
        <w:rPr>
          <w:noProof/>
        </w:rPr>
        <w:drawing>
          <wp:inline distT="0" distB="0" distL="0" distR="0" wp14:anchorId="71D1A597" wp14:editId="6C876D1C">
            <wp:extent cx="4000500" cy="1628775"/>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40016" t="38602" r="33819" b="38401"/>
                    <a:stretch/>
                  </pic:blipFill>
                  <pic:spPr bwMode="auto">
                    <a:xfrm>
                      <a:off x="0" y="0"/>
                      <a:ext cx="4000500" cy="1628775"/>
                    </a:xfrm>
                    <a:prstGeom prst="rect">
                      <a:avLst/>
                    </a:prstGeom>
                    <a:ln>
                      <a:noFill/>
                    </a:ln>
                    <a:extLst>
                      <a:ext uri="{53640926-AAD7-44D8-BBD7-CCE9431645EC}">
                        <a14:shadowObscured xmlns:a14="http://schemas.microsoft.com/office/drawing/2010/main"/>
                      </a:ext>
                    </a:extLst>
                  </pic:spPr>
                </pic:pic>
              </a:graphicData>
            </a:graphic>
          </wp:inline>
        </w:drawing>
      </w:r>
    </w:p>
    <w:p w:rsidR="00A76B0D" w:rsidRDefault="00A76B0D" w:rsidP="00A76B0D">
      <w:pPr>
        <w:pStyle w:val="Heading3"/>
      </w:pPr>
      <w:r>
        <w:t>Attack by Year and Protocol</w:t>
      </w:r>
    </w:p>
    <w:p w:rsidR="00A76B0D" w:rsidRDefault="00A76B0D" w:rsidP="00A76B0D">
      <w:pPr>
        <w:pStyle w:val="NormalWeb"/>
      </w:pPr>
      <w:r>
        <w:t>Taking up the bottom-left section, this ribbon chart (or smoothed stacked area chart) illustrates how the volume and composition of attacks have shifted over time:</w:t>
      </w:r>
    </w:p>
    <w:p w:rsidR="00A76B0D" w:rsidRDefault="00A76B0D" w:rsidP="00A76B0D">
      <w:pPr>
        <w:pStyle w:val="NormalWeb"/>
        <w:numPr>
          <w:ilvl w:val="0"/>
          <w:numId w:val="20"/>
        </w:numPr>
      </w:pPr>
      <w:r>
        <w:rPr>
          <w:b/>
          <w:bCs/>
        </w:rPr>
        <w:t>X-Axis:</w:t>
      </w:r>
      <w:r>
        <w:t xml:space="preserve"> Years 2020 to 2023.</w:t>
      </w:r>
    </w:p>
    <w:p w:rsidR="00A76B0D" w:rsidRDefault="00A76B0D" w:rsidP="00A76B0D">
      <w:pPr>
        <w:pStyle w:val="NormalWeb"/>
        <w:numPr>
          <w:ilvl w:val="0"/>
          <w:numId w:val="20"/>
        </w:numPr>
      </w:pPr>
      <w:r>
        <w:rPr>
          <w:b/>
          <w:bCs/>
        </w:rPr>
        <w:t>Y-Axis:</w:t>
      </w:r>
      <w:r>
        <w:t xml:space="preserve"> Attack volume (0K to slightly above 10K).</w:t>
      </w:r>
    </w:p>
    <w:p w:rsidR="00A76B0D" w:rsidRDefault="00A76B0D" w:rsidP="00A76B0D">
      <w:pPr>
        <w:pStyle w:val="NormalWeb"/>
        <w:numPr>
          <w:ilvl w:val="0"/>
          <w:numId w:val="20"/>
        </w:numPr>
      </w:pPr>
      <w:r>
        <w:rPr>
          <w:b/>
          <w:bCs/>
        </w:rPr>
        <w:t>Trend:</w:t>
      </w:r>
      <w:r>
        <w:t xml:space="preserve"> While the overall volume stays relatively stable from 2020 to 2022, the prominence of each protocol (ICMP in Light Blue, TCP in Dark Blue, UDP in Orange) fluctuates. For example, ICMP drops in rank during 2021, while UDP rises. Consistent with other dashboard views, there is a distinct drop in overall attack volume in </w:t>
      </w:r>
      <w:r>
        <w:rPr>
          <w:b/>
          <w:bCs/>
        </w:rPr>
        <w:t>2023</w:t>
      </w:r>
      <w:r>
        <w:t>.</w:t>
      </w:r>
    </w:p>
    <w:p w:rsidR="005D1643" w:rsidRDefault="005D1643" w:rsidP="005D1643">
      <w:pPr>
        <w:pStyle w:val="NormalWeb"/>
        <w:ind w:left="720"/>
      </w:pPr>
      <w:r>
        <w:rPr>
          <w:noProof/>
        </w:rPr>
        <w:lastRenderedPageBreak/>
        <w:drawing>
          <wp:inline distT="0" distB="0" distL="0" distR="0" wp14:anchorId="13825FE4" wp14:editId="184EEF28">
            <wp:extent cx="5038725" cy="1676400"/>
            <wp:effectExtent l="0" t="0" r="952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7849" t="62694" r="51673" b="14309"/>
                    <a:stretch/>
                  </pic:blipFill>
                  <pic:spPr bwMode="auto">
                    <a:xfrm>
                      <a:off x="0" y="0"/>
                      <a:ext cx="5038725" cy="1676400"/>
                    </a:xfrm>
                    <a:prstGeom prst="rect">
                      <a:avLst/>
                    </a:prstGeom>
                    <a:ln>
                      <a:noFill/>
                    </a:ln>
                    <a:extLst>
                      <a:ext uri="{53640926-AAD7-44D8-BBD7-CCE9431645EC}">
                        <a14:shadowObscured xmlns:a14="http://schemas.microsoft.com/office/drawing/2010/main"/>
                      </a:ext>
                    </a:extLst>
                  </pic:spPr>
                </pic:pic>
              </a:graphicData>
            </a:graphic>
          </wp:inline>
        </w:drawing>
      </w:r>
    </w:p>
    <w:p w:rsidR="00A76B0D" w:rsidRDefault="00A76B0D" w:rsidP="00A76B0D">
      <w:pPr>
        <w:pStyle w:val="Heading3"/>
      </w:pPr>
      <w:r>
        <w:t>Packet Type by Protocol</w:t>
      </w:r>
    </w:p>
    <w:p w:rsidR="00A76B0D" w:rsidRDefault="00A76B0D" w:rsidP="00A76B0D">
      <w:pPr>
        <w:pStyle w:val="NormalWeb"/>
      </w:pPr>
      <w:r>
        <w:t>Located in the bottom-right corner, this stacked column chart shows the composition of packet types within each specific protocol:</w:t>
      </w:r>
    </w:p>
    <w:p w:rsidR="00A76B0D" w:rsidRDefault="00A76B0D" w:rsidP="00A76B0D">
      <w:pPr>
        <w:pStyle w:val="NormalWeb"/>
        <w:numPr>
          <w:ilvl w:val="0"/>
          <w:numId w:val="21"/>
        </w:numPr>
      </w:pPr>
      <w:r>
        <w:rPr>
          <w:b/>
          <w:bCs/>
        </w:rPr>
        <w:t>X-Axis (Protocol):</w:t>
      </w:r>
      <w:r>
        <w:t xml:space="preserve"> ICMP, UDP, TCP.</w:t>
      </w:r>
    </w:p>
    <w:p w:rsidR="00A76B0D" w:rsidRDefault="00A76B0D" w:rsidP="00A76B0D">
      <w:pPr>
        <w:pStyle w:val="NormalWeb"/>
        <w:numPr>
          <w:ilvl w:val="0"/>
          <w:numId w:val="21"/>
        </w:numPr>
      </w:pPr>
      <w:r>
        <w:rPr>
          <w:b/>
          <w:bCs/>
        </w:rPr>
        <w:t>Y-Axis (Count of Id):</w:t>
      </w:r>
      <w:r>
        <w:t xml:space="preserve"> Total counts reaching roughly 13K per protocol.</w:t>
      </w:r>
    </w:p>
    <w:p w:rsidR="00A76B0D" w:rsidRDefault="00A76B0D" w:rsidP="00A76B0D">
      <w:pPr>
        <w:pStyle w:val="NormalWeb"/>
        <w:numPr>
          <w:ilvl w:val="0"/>
          <w:numId w:val="21"/>
        </w:numPr>
      </w:pPr>
      <w:r>
        <w:rPr>
          <w:b/>
          <w:bCs/>
        </w:rPr>
        <w:t>Categories:</w:t>
      </w:r>
      <w:r>
        <w:t xml:space="preserve"> Just like the "Packet Type by Severity" visual, every column here is divided into a near-perfect 50/50 split between </w:t>
      </w:r>
      <w:r>
        <w:rPr>
          <w:b/>
          <w:bCs/>
        </w:rPr>
        <w:t>Control</w:t>
      </w:r>
      <w:r>
        <w:t xml:space="preserve"> (Light Blue) and </w:t>
      </w:r>
      <w:r>
        <w:rPr>
          <w:b/>
          <w:bCs/>
        </w:rPr>
        <w:t>Data</w:t>
      </w:r>
      <w:r>
        <w:t xml:space="preserve"> (Dark Blue) packets, showing high uniformity across the network protocols.</w:t>
      </w:r>
    </w:p>
    <w:p w:rsidR="00722E5B" w:rsidRPr="00244B68" w:rsidRDefault="005D1643" w:rsidP="00A76B0D">
      <w:pPr>
        <w:spacing w:before="40" w:after="200"/>
        <w:rPr>
          <w:rFonts w:ascii="Times New Roman" w:hAnsi="Times New Roman" w:cs="Times New Roman"/>
          <w:i/>
          <w:iCs/>
          <w:color w:val="5B6B7B"/>
          <w:sz w:val="18"/>
          <w:szCs w:val="18"/>
        </w:rPr>
      </w:pPr>
      <w:r>
        <w:rPr>
          <w:noProof/>
        </w:rPr>
        <w:t xml:space="preserve">                                                 </w:t>
      </w:r>
      <w:r>
        <w:rPr>
          <w:noProof/>
        </w:rPr>
        <w:drawing>
          <wp:inline distT="0" distB="0" distL="0" distR="0" wp14:anchorId="3F995F95" wp14:editId="38A66738">
            <wp:extent cx="3209925" cy="2038350"/>
            <wp:effectExtent l="0" t="0" r="952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48328" t="61406" r="33819" b="14583"/>
                    <a:stretch/>
                  </pic:blipFill>
                  <pic:spPr bwMode="auto">
                    <a:xfrm>
                      <a:off x="0" y="0"/>
                      <a:ext cx="3209925" cy="2038350"/>
                    </a:xfrm>
                    <a:prstGeom prst="rect">
                      <a:avLst/>
                    </a:prstGeom>
                    <a:ln>
                      <a:noFill/>
                    </a:ln>
                    <a:extLst>
                      <a:ext uri="{53640926-AAD7-44D8-BBD7-CCE9431645EC}">
                        <a14:shadowObscured xmlns:a14="http://schemas.microsoft.com/office/drawing/2010/main"/>
                      </a:ext>
                    </a:extLst>
                  </pic:spPr>
                </pic:pic>
              </a:graphicData>
            </a:graphic>
          </wp:inline>
        </w:drawing>
      </w:r>
    </w:p>
    <w:p w:rsidR="00722E5B" w:rsidRPr="00244B68" w:rsidRDefault="00722E5B">
      <w:pPr>
        <w:spacing w:before="40" w:after="200"/>
        <w:jc w:val="center"/>
        <w:rPr>
          <w:rFonts w:ascii="Times New Roman" w:hAnsi="Times New Roman" w:cs="Times New Roman"/>
        </w:rPr>
      </w:pPr>
    </w:p>
    <w:p w:rsidR="002A7081" w:rsidRPr="00244B68" w:rsidRDefault="000A24F2">
      <w:pPr>
        <w:spacing w:after="130" w:line="276" w:lineRule="auto"/>
        <w:jc w:val="both"/>
        <w:rPr>
          <w:rFonts w:ascii="Times New Roman" w:hAnsi="Times New Roman" w:cs="Times New Roman"/>
        </w:rPr>
      </w:pPr>
      <w:r>
        <w:rPr>
          <w:rFonts w:ascii="Times New Roman" w:hAnsi="Times New Roman" w:cs="Times New Roman"/>
        </w:rPr>
        <w:t xml:space="preserve">This dashboard dissects network-level behaviour. Packet Type by Protocol and Protocol vs Action Taken columns show how Control/Data packets and response actions distribute across ICMP, TCP and UDP. Packet Type by Severity relates packet composition to threat severity, while the Protocol vs Severity matrix provides exact counts. A Total Packet Type donut summarises the Control-versus-Data split (50.6% vs 49.4%), a ribbon chart ranks protocols by attack volume, and an Avg Packet Length by Protocol view profiles packet size </w:t>
      </w:r>
      <w:r w:rsidR="002B0252">
        <w:rPr>
          <w:rFonts w:ascii="Times New Roman" w:hAnsi="Times New Roman" w:cs="Times New Roman"/>
        </w:rPr>
        <w:t>-</w:t>
      </w:r>
      <w:r>
        <w:rPr>
          <w:rFonts w:ascii="Times New Roman" w:hAnsi="Times New Roman" w:cs="Times New Roman"/>
        </w:rPr>
        <w:t xml:space="preserve"> giving a complete picture of traffic characteristics.</w:t>
      </w:r>
    </w:p>
    <w:p w:rsidR="00722E5B" w:rsidRPr="00244B68" w:rsidRDefault="00722E5B">
      <w:pPr>
        <w:spacing w:after="130" w:line="276" w:lineRule="auto"/>
        <w:jc w:val="both"/>
        <w:rPr>
          <w:rFonts w:ascii="Times New Roman" w:hAnsi="Times New Roman" w:cs="Times New Roman"/>
        </w:rPr>
      </w:pPr>
    </w:p>
    <w:p w:rsidR="00722E5B" w:rsidRPr="00244B68" w:rsidRDefault="00722E5B">
      <w:pPr>
        <w:spacing w:after="130" w:line="276" w:lineRule="auto"/>
        <w:jc w:val="both"/>
        <w:rPr>
          <w:rFonts w:ascii="Times New Roman" w:hAnsi="Times New Roman" w:cs="Times New Roman"/>
        </w:rPr>
      </w:pPr>
    </w:p>
    <w:p w:rsidR="002A7081" w:rsidRPr="00244B68" w:rsidRDefault="000A24F2">
      <w:pPr>
        <w:pStyle w:val="Heading2"/>
        <w:spacing w:before="200" w:after="80"/>
        <w:rPr>
          <w:rFonts w:ascii="Times New Roman" w:hAnsi="Times New Roman" w:cs="Times New Roman"/>
        </w:rPr>
      </w:pPr>
      <w:r>
        <w:rPr>
          <w:rFonts w:ascii="Segoe UI Symbol" w:hAnsi="Segoe UI Symbol" w:cs="Segoe UI Symbol"/>
          <w:color w:val="0F7FC4"/>
          <w:sz w:val="24"/>
          <w:szCs w:val="24"/>
        </w:rPr>
        <w:t>▍</w:t>
      </w:r>
      <w:r>
        <w:rPr>
          <w:rFonts w:ascii="Times New Roman" w:hAnsi="Times New Roman" w:cs="Times New Roman"/>
          <w:color w:val="0F7FC4"/>
          <w:sz w:val="24"/>
          <w:szCs w:val="24"/>
        </w:rPr>
        <w:t xml:space="preserve"> </w:t>
      </w:r>
      <w:r>
        <w:rPr>
          <w:rFonts w:ascii="Times New Roman" w:hAnsi="Times New Roman" w:cs="Times New Roman"/>
        </w:rPr>
        <w:t xml:space="preserve">Dashboard 4 </w:t>
      </w:r>
      <w:r w:rsidR="002B0252">
        <w:rPr>
          <w:rFonts w:ascii="Times New Roman" w:hAnsi="Times New Roman" w:cs="Times New Roman"/>
        </w:rPr>
        <w:t>-</w:t>
      </w:r>
      <w:r>
        <w:rPr>
          <w:rFonts w:ascii="Times New Roman" w:hAnsi="Times New Roman" w:cs="Times New Roman"/>
        </w:rPr>
        <w:t xml:space="preserve"> User Behavio</w:t>
      </w:r>
      <w:r w:rsidR="00E8011E">
        <w:rPr>
          <w:rFonts w:ascii="Times New Roman" w:hAnsi="Times New Roman" w:cs="Times New Roman"/>
        </w:rPr>
        <w:t>u</w:t>
      </w:r>
      <w:r>
        <w:rPr>
          <w:rFonts w:ascii="Times New Roman" w:hAnsi="Times New Roman" w:cs="Times New Roman"/>
        </w:rPr>
        <w:t>r Analytics</w:t>
      </w:r>
    </w:p>
    <w:p w:rsidR="0052366E" w:rsidRDefault="0052366E" w:rsidP="0052366E">
      <w:pPr>
        <w:pStyle w:val="Heading3"/>
      </w:pPr>
      <w:r>
        <w:t>Monthly Attack matrix</w:t>
      </w:r>
    </w:p>
    <w:p w:rsidR="0052366E" w:rsidRDefault="0052366E" w:rsidP="0052366E">
      <w:pPr>
        <w:pStyle w:val="NormalWeb"/>
      </w:pPr>
      <w:r>
        <w:t>Located in the top-left corner, this table acts as a heatmap showing the volume of attacks broken down by month and attack type:</w:t>
      </w:r>
    </w:p>
    <w:p w:rsidR="0052366E" w:rsidRDefault="0052366E" w:rsidP="0052366E">
      <w:pPr>
        <w:pStyle w:val="NormalWeb"/>
        <w:numPr>
          <w:ilvl w:val="0"/>
          <w:numId w:val="22"/>
        </w:numPr>
      </w:pPr>
      <w:r>
        <w:rPr>
          <w:b/>
          <w:bCs/>
        </w:rPr>
        <w:lastRenderedPageBreak/>
        <w:t>Rows &amp; Columns:</w:t>
      </w:r>
      <w:r>
        <w:t xml:space="preserve"> The rows display the months of the year (January to December), and the columns are split by attack type (DDoS, Intrusion, Malware).</w:t>
      </w:r>
    </w:p>
    <w:p w:rsidR="0052366E" w:rsidRDefault="0052366E" w:rsidP="0052366E">
      <w:pPr>
        <w:pStyle w:val="NormalWeb"/>
        <w:numPr>
          <w:ilvl w:val="0"/>
          <w:numId w:val="22"/>
        </w:numPr>
      </w:pPr>
      <w:r>
        <w:rPr>
          <w:b/>
          <w:bCs/>
        </w:rPr>
        <w:t>Color Gradient:</w:t>
      </w:r>
      <w:r>
        <w:t xml:space="preserve"> The cells are color-coded from green (lowest volume) to red (highest volume).</w:t>
      </w:r>
    </w:p>
    <w:p w:rsidR="0052366E" w:rsidRDefault="0052366E" w:rsidP="0052366E">
      <w:pPr>
        <w:pStyle w:val="NormalWeb"/>
        <w:numPr>
          <w:ilvl w:val="0"/>
          <w:numId w:val="22"/>
        </w:numPr>
      </w:pPr>
      <w:r>
        <w:rPr>
          <w:b/>
          <w:bCs/>
        </w:rPr>
        <w:t>Trend:</w:t>
      </w:r>
      <w:r>
        <w:t xml:space="preserve"> The highest concentration of attacks (in red and orange) occurs in the spring and summer months, notably March and June. The lowest volume of attacks (in bright green) consistently appears at the end of the year in November and December, dropping into the 800-900 range.</w:t>
      </w:r>
    </w:p>
    <w:p w:rsidR="0052366E" w:rsidRDefault="0052366E" w:rsidP="0052366E">
      <w:pPr>
        <w:pStyle w:val="Heading3"/>
      </w:pPr>
      <w:r>
        <w:t>Key Performance Indicators (KPIs)</w:t>
      </w:r>
    </w:p>
    <w:p w:rsidR="0052366E" w:rsidRDefault="0052366E" w:rsidP="0052366E">
      <w:pPr>
        <w:pStyle w:val="NormalWeb"/>
      </w:pPr>
      <w:r>
        <w:t>Located top-center, these two summary cards display overall user and device metrics:</w:t>
      </w:r>
    </w:p>
    <w:p w:rsidR="0052366E" w:rsidRDefault="0052366E" w:rsidP="0052366E">
      <w:pPr>
        <w:pStyle w:val="NormalWeb"/>
        <w:numPr>
          <w:ilvl w:val="0"/>
          <w:numId w:val="23"/>
        </w:numPr>
      </w:pPr>
      <w:r>
        <w:rPr>
          <w:b/>
          <w:bCs/>
        </w:rPr>
        <w:t>Total Users:</w:t>
      </w:r>
      <w:r>
        <w:t xml:space="preserve"> 32.389K</w:t>
      </w:r>
    </w:p>
    <w:p w:rsidR="0052366E" w:rsidRDefault="0052366E" w:rsidP="0052366E">
      <w:pPr>
        <w:pStyle w:val="NormalWeb"/>
        <w:numPr>
          <w:ilvl w:val="0"/>
          <w:numId w:val="23"/>
        </w:numPr>
      </w:pPr>
      <w:r>
        <w:rPr>
          <w:b/>
          <w:bCs/>
        </w:rPr>
        <w:t>Total devices:</w:t>
      </w:r>
      <w:r>
        <w:t xml:space="preserve"> 32.104K</w:t>
      </w:r>
    </w:p>
    <w:p w:rsidR="0052366E" w:rsidRDefault="0052366E" w:rsidP="0052366E">
      <w:pPr>
        <w:pStyle w:val="NormalWeb"/>
        <w:numPr>
          <w:ilvl w:val="0"/>
          <w:numId w:val="23"/>
        </w:numPr>
      </w:pPr>
      <w:r>
        <w:t>This indicates a nearly 1:1 ratio of users to devices being monitored within this dataset.</w:t>
      </w:r>
    </w:p>
    <w:p w:rsidR="005D1643" w:rsidRDefault="005D1643" w:rsidP="005D1643">
      <w:pPr>
        <w:pStyle w:val="NormalWeb"/>
        <w:ind w:left="720"/>
      </w:pPr>
      <w:r>
        <w:t xml:space="preserve">                      </w:t>
      </w:r>
      <w:r>
        <w:rPr>
          <w:noProof/>
        </w:rPr>
        <w:drawing>
          <wp:inline distT="0" distB="0" distL="0" distR="0" wp14:anchorId="0A1E8321" wp14:editId="78EA9D7D">
            <wp:extent cx="2857500" cy="257175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8772" t="25461" r="76760" b="42782"/>
                    <a:stretch/>
                  </pic:blipFill>
                  <pic:spPr bwMode="auto">
                    <a:xfrm>
                      <a:off x="0" y="0"/>
                      <a:ext cx="2857500" cy="2571750"/>
                    </a:xfrm>
                    <a:prstGeom prst="rect">
                      <a:avLst/>
                    </a:prstGeom>
                    <a:ln>
                      <a:noFill/>
                    </a:ln>
                    <a:extLst>
                      <a:ext uri="{53640926-AAD7-44D8-BBD7-CCE9431645EC}">
                        <a14:shadowObscured xmlns:a14="http://schemas.microsoft.com/office/drawing/2010/main"/>
                      </a:ext>
                    </a:extLst>
                  </pic:spPr>
                </pic:pic>
              </a:graphicData>
            </a:graphic>
          </wp:inline>
        </w:drawing>
      </w:r>
    </w:p>
    <w:p w:rsidR="0052366E" w:rsidRDefault="0052366E" w:rsidP="0052366E">
      <w:pPr>
        <w:pStyle w:val="Heading3"/>
      </w:pPr>
      <w:r>
        <w:t>Browser vs Avg Anomaly Score</w:t>
      </w:r>
    </w:p>
    <w:p w:rsidR="0052366E" w:rsidRDefault="0052366E" w:rsidP="0052366E">
      <w:pPr>
        <w:pStyle w:val="NormalWeb"/>
      </w:pPr>
      <w:r>
        <w:t>Positioned in the middle of the dashboard, this 100% stacked horizontal bar chart illustrates how anomaly scores are distributed across operating systems for two specific browsers:</w:t>
      </w:r>
    </w:p>
    <w:p w:rsidR="0052366E" w:rsidRDefault="0052366E" w:rsidP="0052366E">
      <w:pPr>
        <w:pStyle w:val="NormalWeb"/>
        <w:numPr>
          <w:ilvl w:val="0"/>
          <w:numId w:val="24"/>
        </w:numPr>
      </w:pPr>
      <w:r>
        <w:rPr>
          <w:b/>
          <w:bCs/>
        </w:rPr>
        <w:t>Opera:</w:t>
      </w:r>
      <w:r>
        <w:t xml:space="preserve"> The anomaly score distribution is split cleanly and evenly between just two operating systems: Linux (Light Blue) and Windows (Pink).</w:t>
      </w:r>
    </w:p>
    <w:p w:rsidR="0052366E" w:rsidRDefault="0052366E" w:rsidP="0052366E">
      <w:pPr>
        <w:pStyle w:val="NormalWeb"/>
        <w:numPr>
          <w:ilvl w:val="0"/>
          <w:numId w:val="24"/>
        </w:numPr>
      </w:pPr>
      <w:r>
        <w:rPr>
          <w:b/>
          <w:bCs/>
        </w:rPr>
        <w:t>Mozilla:</w:t>
      </w:r>
      <w:r>
        <w:t xml:space="preserve"> The anomaly score distribution is spread across all five tracked operating systems (Android, iOS, Linux, Mac OS, Windows) in relatively even proportions.</w:t>
      </w:r>
    </w:p>
    <w:p w:rsidR="005D1643" w:rsidRDefault="005D1643" w:rsidP="005D1643">
      <w:pPr>
        <w:pStyle w:val="NormalWeb"/>
        <w:ind w:left="720"/>
      </w:pPr>
      <w:r>
        <w:lastRenderedPageBreak/>
        <w:t xml:space="preserve">                  </w:t>
      </w:r>
      <w:r>
        <w:rPr>
          <w:noProof/>
        </w:rPr>
        <w:drawing>
          <wp:inline distT="0" distB="0" distL="0" distR="0" wp14:anchorId="1A5F30E1" wp14:editId="2FDBDD9A">
            <wp:extent cx="3695700" cy="1857375"/>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23259" t="35590" r="54443" b="43055"/>
                    <a:stretch/>
                  </pic:blipFill>
                  <pic:spPr bwMode="auto">
                    <a:xfrm>
                      <a:off x="0" y="0"/>
                      <a:ext cx="3695700" cy="1857375"/>
                    </a:xfrm>
                    <a:prstGeom prst="rect">
                      <a:avLst/>
                    </a:prstGeom>
                    <a:ln>
                      <a:noFill/>
                    </a:ln>
                    <a:extLst>
                      <a:ext uri="{53640926-AAD7-44D8-BBD7-CCE9431645EC}">
                        <a14:shadowObscured xmlns:a14="http://schemas.microsoft.com/office/drawing/2010/main"/>
                      </a:ext>
                    </a:extLst>
                  </pic:spPr>
                </pic:pic>
              </a:graphicData>
            </a:graphic>
          </wp:inline>
        </w:drawing>
      </w:r>
    </w:p>
    <w:p w:rsidR="0052366E" w:rsidRDefault="0052366E" w:rsidP="0052366E">
      <w:pPr>
        <w:pStyle w:val="Heading3"/>
      </w:pPr>
      <w:r>
        <w:t>OS Distribution</w:t>
      </w:r>
    </w:p>
    <w:p w:rsidR="0052366E" w:rsidRDefault="0052366E" w:rsidP="0052366E">
      <w:pPr>
        <w:pStyle w:val="NormalWeb"/>
      </w:pPr>
      <w:r>
        <w:t>Found in the top-right corner, this donut chart breaks down the total count of operating systems involved in the data:</w:t>
      </w:r>
    </w:p>
    <w:p w:rsidR="0052366E" w:rsidRDefault="0052366E" w:rsidP="0052366E">
      <w:pPr>
        <w:pStyle w:val="NormalWeb"/>
        <w:numPr>
          <w:ilvl w:val="0"/>
          <w:numId w:val="25"/>
        </w:numPr>
      </w:pPr>
      <w:r>
        <w:rPr>
          <w:b/>
          <w:bCs/>
        </w:rPr>
        <w:t>Windows (Pink):</w:t>
      </w:r>
      <w:r>
        <w:t xml:space="preserve"> Represents the largest segment by a significant margin at </w:t>
      </w:r>
      <w:r>
        <w:rPr>
          <w:b/>
          <w:bCs/>
        </w:rPr>
        <w:t>17.95K (44.88%)</w:t>
      </w:r>
      <w:r>
        <w:t>.</w:t>
      </w:r>
    </w:p>
    <w:p w:rsidR="0052366E" w:rsidRDefault="0052366E" w:rsidP="0052366E">
      <w:pPr>
        <w:pStyle w:val="NormalWeb"/>
        <w:numPr>
          <w:ilvl w:val="0"/>
          <w:numId w:val="25"/>
        </w:numPr>
      </w:pPr>
      <w:r>
        <w:rPr>
          <w:b/>
          <w:bCs/>
        </w:rPr>
        <w:t>Linux (Light Blue):</w:t>
      </w:r>
      <w:r>
        <w:t xml:space="preserve"> The second largest at </w:t>
      </w:r>
      <w:r>
        <w:rPr>
          <w:b/>
          <w:bCs/>
        </w:rPr>
        <w:t>7.17K (17.93%)</w:t>
      </w:r>
      <w:r>
        <w:t>.</w:t>
      </w:r>
    </w:p>
    <w:p w:rsidR="0052366E" w:rsidRDefault="0052366E" w:rsidP="0052366E">
      <w:pPr>
        <w:pStyle w:val="NormalWeb"/>
        <w:numPr>
          <w:ilvl w:val="0"/>
          <w:numId w:val="25"/>
        </w:numPr>
      </w:pPr>
      <w:r>
        <w:rPr>
          <w:b/>
          <w:bCs/>
        </w:rPr>
        <w:t>Mac OS (Dark Blue):</w:t>
      </w:r>
      <w:r>
        <w:t xml:space="preserve"> Accounts for </w:t>
      </w:r>
      <w:r>
        <w:rPr>
          <w:b/>
          <w:bCs/>
        </w:rPr>
        <w:t>5.81K (~14.5%)</w:t>
      </w:r>
      <w:r>
        <w:t>.</w:t>
      </w:r>
    </w:p>
    <w:p w:rsidR="0052366E" w:rsidRDefault="0052366E" w:rsidP="0052366E">
      <w:pPr>
        <w:pStyle w:val="NormalWeb"/>
        <w:numPr>
          <w:ilvl w:val="0"/>
          <w:numId w:val="25"/>
        </w:numPr>
      </w:pPr>
      <w:r>
        <w:rPr>
          <w:b/>
          <w:bCs/>
        </w:rPr>
        <w:t>iOS (Orange):</w:t>
      </w:r>
      <w:r>
        <w:t xml:space="preserve"> Accounts for </w:t>
      </w:r>
      <w:r>
        <w:rPr>
          <w:b/>
          <w:bCs/>
        </w:rPr>
        <w:t>5.77K (14.44%)</w:t>
      </w:r>
      <w:r>
        <w:t>.</w:t>
      </w:r>
    </w:p>
    <w:p w:rsidR="0052366E" w:rsidRDefault="0052366E" w:rsidP="0052366E">
      <w:pPr>
        <w:pStyle w:val="NormalWeb"/>
        <w:numPr>
          <w:ilvl w:val="0"/>
          <w:numId w:val="25"/>
        </w:numPr>
      </w:pPr>
      <w:r>
        <w:rPr>
          <w:b/>
          <w:bCs/>
        </w:rPr>
        <w:t>Android (Purple):</w:t>
      </w:r>
      <w:r>
        <w:t xml:space="preserve"> The smallest segment at </w:t>
      </w:r>
      <w:r>
        <w:rPr>
          <w:b/>
          <w:bCs/>
        </w:rPr>
        <w:t>3.29K (8.22%)</w:t>
      </w:r>
      <w:r>
        <w:t>.</w:t>
      </w:r>
    </w:p>
    <w:p w:rsidR="005D1643" w:rsidRDefault="005D1643" w:rsidP="005D1643">
      <w:pPr>
        <w:pStyle w:val="NormalWeb"/>
        <w:ind w:left="720"/>
      </w:pPr>
      <w:r>
        <w:t xml:space="preserve">               </w:t>
      </w:r>
      <w:r>
        <w:rPr>
          <w:noProof/>
        </w:rPr>
        <w:drawing>
          <wp:inline distT="0" distB="0" distL="0" distR="0" wp14:anchorId="77A26510" wp14:editId="2D294BD4">
            <wp:extent cx="3933825" cy="189547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45557" t="20807" r="34281" b="43055"/>
                    <a:stretch/>
                  </pic:blipFill>
                  <pic:spPr bwMode="auto">
                    <a:xfrm>
                      <a:off x="0" y="0"/>
                      <a:ext cx="3933825" cy="1895475"/>
                    </a:xfrm>
                    <a:prstGeom prst="rect">
                      <a:avLst/>
                    </a:prstGeom>
                    <a:ln>
                      <a:noFill/>
                    </a:ln>
                    <a:extLst>
                      <a:ext uri="{53640926-AAD7-44D8-BBD7-CCE9431645EC}">
                        <a14:shadowObscured xmlns:a14="http://schemas.microsoft.com/office/drawing/2010/main"/>
                      </a:ext>
                    </a:extLst>
                  </pic:spPr>
                </pic:pic>
              </a:graphicData>
            </a:graphic>
          </wp:inline>
        </w:drawing>
      </w:r>
    </w:p>
    <w:p w:rsidR="0052366E" w:rsidRDefault="0052366E" w:rsidP="0052366E">
      <w:pPr>
        <w:pStyle w:val="Heading3"/>
      </w:pPr>
      <w:r>
        <w:t>OS Trend over Time</w:t>
      </w:r>
    </w:p>
    <w:p w:rsidR="0052366E" w:rsidRDefault="0052366E" w:rsidP="0052366E">
      <w:pPr>
        <w:pStyle w:val="NormalWeb"/>
      </w:pPr>
      <w:r>
        <w:t>Located in the bottom-left, this stacked area chart tracks the volume of operating systems recorded from 2020 to 2023:</w:t>
      </w:r>
    </w:p>
    <w:p w:rsidR="0052366E" w:rsidRDefault="0052366E" w:rsidP="0052366E">
      <w:pPr>
        <w:pStyle w:val="NormalWeb"/>
        <w:numPr>
          <w:ilvl w:val="0"/>
          <w:numId w:val="26"/>
        </w:numPr>
      </w:pPr>
      <w:r>
        <w:rPr>
          <w:b/>
          <w:bCs/>
        </w:rPr>
        <w:t>Distribution:</w:t>
      </w:r>
      <w:r>
        <w:t xml:space="preserve"> It visually mirrors the "OS Distribution" donut chart, with Windows (Pink) taking up the largest top band, followed by the other operating systems stacked below it.</w:t>
      </w:r>
    </w:p>
    <w:p w:rsidR="0052366E" w:rsidRDefault="0052366E" w:rsidP="0052366E">
      <w:pPr>
        <w:pStyle w:val="NormalWeb"/>
        <w:numPr>
          <w:ilvl w:val="0"/>
          <w:numId w:val="26"/>
        </w:numPr>
      </w:pPr>
      <w:r>
        <w:rPr>
          <w:b/>
          <w:bCs/>
        </w:rPr>
        <w:t>Timeline Trend:</w:t>
      </w:r>
      <w:r>
        <w:t xml:space="preserve"> The total volume remains stable and flat from 2020 through 2022. Consistent with the other dashboard tabs, there is a sharp and noticeable decline in overall volume in </w:t>
      </w:r>
      <w:r>
        <w:rPr>
          <w:b/>
          <w:bCs/>
        </w:rPr>
        <w:t>2023</w:t>
      </w:r>
      <w:r>
        <w:t>.</w:t>
      </w:r>
    </w:p>
    <w:p w:rsidR="005D1643" w:rsidRDefault="00A9422F" w:rsidP="005D1643">
      <w:pPr>
        <w:pStyle w:val="NormalWeb"/>
        <w:ind w:left="720"/>
      </w:pPr>
      <w:r>
        <w:lastRenderedPageBreak/>
        <w:t xml:space="preserve">                   </w:t>
      </w:r>
      <w:r>
        <w:rPr>
          <w:noProof/>
        </w:rPr>
        <w:drawing>
          <wp:inline distT="0" distB="0" distL="0" distR="0" wp14:anchorId="799F016E" wp14:editId="105F4D4F">
            <wp:extent cx="4295775" cy="1724025"/>
            <wp:effectExtent l="0" t="0" r="9525"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8619" t="56945" r="61061" b="14857"/>
                    <a:stretch/>
                  </pic:blipFill>
                  <pic:spPr bwMode="auto">
                    <a:xfrm>
                      <a:off x="0" y="0"/>
                      <a:ext cx="4295775" cy="1724025"/>
                    </a:xfrm>
                    <a:prstGeom prst="rect">
                      <a:avLst/>
                    </a:prstGeom>
                    <a:ln>
                      <a:noFill/>
                    </a:ln>
                    <a:extLst>
                      <a:ext uri="{53640926-AAD7-44D8-BBD7-CCE9431645EC}">
                        <a14:shadowObscured xmlns:a14="http://schemas.microsoft.com/office/drawing/2010/main"/>
                      </a:ext>
                    </a:extLst>
                  </pic:spPr>
                </pic:pic>
              </a:graphicData>
            </a:graphic>
          </wp:inline>
        </w:drawing>
      </w:r>
    </w:p>
    <w:p w:rsidR="0052366E" w:rsidRDefault="0052366E" w:rsidP="0052366E">
      <w:pPr>
        <w:pStyle w:val="Heading3"/>
      </w:pPr>
      <w:r>
        <w:t>Top 10 Source IPs</w:t>
      </w:r>
    </w:p>
    <w:p w:rsidR="0052366E" w:rsidRDefault="0052366E" w:rsidP="0052366E">
      <w:pPr>
        <w:pStyle w:val="NormalWeb"/>
      </w:pPr>
      <w:r>
        <w:t>Taking up the bottom-right section, this horizontal bar chart ranks the specific IP addresses responsible for the highest anomaly scores:</w:t>
      </w:r>
    </w:p>
    <w:p w:rsidR="0052366E" w:rsidRDefault="0052366E" w:rsidP="0052366E">
      <w:pPr>
        <w:pStyle w:val="NormalWeb"/>
        <w:numPr>
          <w:ilvl w:val="0"/>
          <w:numId w:val="27"/>
        </w:numPr>
      </w:pPr>
      <w:r>
        <w:rPr>
          <w:b/>
          <w:bCs/>
        </w:rPr>
        <w:t>X-Axis:</w:t>
      </w:r>
      <w:r>
        <w:t xml:space="preserve"> Measures the Average of Anomaly Scores (0 to 100).</w:t>
      </w:r>
    </w:p>
    <w:p w:rsidR="0052366E" w:rsidRDefault="0052366E" w:rsidP="0052366E">
      <w:pPr>
        <w:pStyle w:val="NormalWeb"/>
        <w:numPr>
          <w:ilvl w:val="0"/>
          <w:numId w:val="27"/>
        </w:numPr>
      </w:pPr>
      <w:r>
        <w:rPr>
          <w:b/>
          <w:bCs/>
        </w:rPr>
        <w:t>Color Gradient:</w:t>
      </w:r>
      <w:r>
        <w:t xml:space="preserve"> The bars are colored based on the </w:t>
      </w:r>
      <w:r>
        <w:rPr>
          <w:i/>
          <w:iCs/>
        </w:rPr>
        <w:t>Sum</w:t>
      </w:r>
      <w:r>
        <w:t xml:space="preserve"> of Anomaly Scores, ranging from Green (3.61) to Red (81.01).</w:t>
      </w:r>
    </w:p>
    <w:p w:rsidR="0052366E" w:rsidRDefault="0052366E" w:rsidP="0052366E">
      <w:pPr>
        <w:pStyle w:val="NormalWeb"/>
        <w:numPr>
          <w:ilvl w:val="0"/>
          <w:numId w:val="27"/>
        </w:numPr>
      </w:pPr>
      <w:r>
        <w:rPr>
          <w:b/>
          <w:bCs/>
        </w:rPr>
        <w:t>Top Threat:</w:t>
      </w:r>
      <w:r>
        <w:t xml:space="preserve"> The top IP address (</w:t>
      </w:r>
      <w:r>
        <w:rPr>
          <w:rStyle w:val="HTMLCode"/>
        </w:rPr>
        <w:t>99.99.250.252</w:t>
      </w:r>
      <w:r>
        <w:t>) stands out with a significantly higher average anomaly score (and a deep red color) compared to the rest of the list. As you move down the top 10, the bars get progressively shorter and shift toward yellow and green, indicating lower anomaly severity.</w:t>
      </w:r>
    </w:p>
    <w:p w:rsidR="00722E5B" w:rsidRPr="00244B68" w:rsidRDefault="00A9422F">
      <w:pPr>
        <w:pStyle w:val="Heading2"/>
        <w:spacing w:before="200" w:after="80"/>
        <w:rPr>
          <w:rFonts w:ascii="Times New Roman" w:hAnsi="Times New Roman" w:cs="Times New Roman"/>
        </w:rPr>
      </w:pPr>
      <w:r>
        <w:rPr>
          <w:rFonts w:ascii="Times New Roman" w:hAnsi="Times New Roman" w:cs="Times New Roman"/>
        </w:rPr>
        <w:t xml:space="preserve">                           </w:t>
      </w:r>
      <w:r>
        <w:rPr>
          <w:noProof/>
        </w:rPr>
        <w:drawing>
          <wp:inline distT="0" distB="0" distL="0" distR="0" wp14:anchorId="749AE82B" wp14:editId="1C2E3081">
            <wp:extent cx="4162425" cy="1905000"/>
            <wp:effectExtent l="0" t="0" r="952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38631" t="56397" r="34435" b="14309"/>
                    <a:stretch/>
                  </pic:blipFill>
                  <pic:spPr bwMode="auto">
                    <a:xfrm>
                      <a:off x="0" y="0"/>
                      <a:ext cx="4162425" cy="1905000"/>
                    </a:xfrm>
                    <a:prstGeom prst="rect">
                      <a:avLst/>
                    </a:prstGeom>
                    <a:ln>
                      <a:noFill/>
                    </a:ln>
                    <a:extLst>
                      <a:ext uri="{53640926-AAD7-44D8-BBD7-CCE9431645EC}">
                        <a14:shadowObscured xmlns:a14="http://schemas.microsoft.com/office/drawing/2010/main"/>
                      </a:ext>
                    </a:extLst>
                  </pic:spPr>
                </pic:pic>
              </a:graphicData>
            </a:graphic>
          </wp:inline>
        </w:drawing>
      </w:r>
      <w:r>
        <w:rPr>
          <w:rFonts w:ascii="Times New Roman" w:hAnsi="Times New Roman" w:cs="Times New Roman"/>
        </w:rPr>
        <w:t xml:space="preserve">                 </w:t>
      </w:r>
    </w:p>
    <w:p w:rsidR="00722E5B" w:rsidRPr="00244B68" w:rsidRDefault="00722E5B">
      <w:pPr>
        <w:pStyle w:val="Heading2"/>
        <w:spacing w:before="200" w:after="80"/>
        <w:rPr>
          <w:rFonts w:ascii="Times New Roman" w:hAnsi="Times New Roman" w:cs="Times New Roman"/>
        </w:rPr>
      </w:pPr>
    </w:p>
    <w:p w:rsidR="002A7081" w:rsidRPr="00244B68" w:rsidRDefault="002A7081">
      <w:pPr>
        <w:spacing w:before="120" w:after="20"/>
        <w:jc w:val="center"/>
        <w:rPr>
          <w:rFonts w:ascii="Times New Roman" w:hAnsi="Times New Roman" w:cs="Times New Roman"/>
        </w:rPr>
      </w:pPr>
    </w:p>
    <w:p w:rsidR="002A7081" w:rsidRPr="00244B68" w:rsidRDefault="000A24F2">
      <w:pPr>
        <w:spacing w:after="130" w:line="276" w:lineRule="auto"/>
        <w:jc w:val="both"/>
        <w:rPr>
          <w:rFonts w:ascii="Times New Roman" w:hAnsi="Times New Roman" w:cs="Times New Roman"/>
        </w:rPr>
      </w:pPr>
      <w:r>
        <w:rPr>
          <w:rFonts w:ascii="Times New Roman" w:hAnsi="Times New Roman" w:cs="Times New Roman"/>
        </w:rPr>
        <w:t>This page profiles the human and device dimension. Total Users (32,389) and Total Devices (32,104) cards quantify the affected population. The OS Distribution donut shows Windows dominating at roughly 45%; the Browser vs Avg Anomaly Score visual compares risk across browsers and operating systems; and the OS Trend over time and Monthly Attack Matrix reveal temporal patterns by attack type. The Top 10 Source IPs chart surfaces the highest-anomaly source addresses for investigation.</w:t>
      </w:r>
    </w:p>
    <w:p w:rsidR="00722E5B" w:rsidRPr="00244B68" w:rsidRDefault="00722E5B">
      <w:pPr>
        <w:spacing w:after="130" w:line="276" w:lineRule="auto"/>
        <w:jc w:val="both"/>
        <w:rPr>
          <w:rFonts w:ascii="Times New Roman" w:hAnsi="Times New Roman" w:cs="Times New Roman"/>
        </w:rPr>
      </w:pPr>
    </w:p>
    <w:p w:rsidR="00722E5B" w:rsidRPr="00244B68" w:rsidRDefault="00722E5B">
      <w:pPr>
        <w:spacing w:after="130" w:line="276" w:lineRule="auto"/>
        <w:jc w:val="both"/>
        <w:rPr>
          <w:rFonts w:ascii="Times New Roman" w:hAnsi="Times New Roman" w:cs="Times New Roman"/>
        </w:rPr>
      </w:pPr>
    </w:p>
    <w:p w:rsidR="00722E5B" w:rsidRPr="00244B68" w:rsidRDefault="00722E5B">
      <w:pPr>
        <w:spacing w:after="130" w:line="276" w:lineRule="auto"/>
        <w:jc w:val="both"/>
        <w:rPr>
          <w:rFonts w:ascii="Times New Roman" w:hAnsi="Times New Roman" w:cs="Times New Roman"/>
        </w:rPr>
      </w:pPr>
    </w:p>
    <w:p w:rsidR="00722E5B" w:rsidRDefault="00722E5B">
      <w:pPr>
        <w:spacing w:after="130" w:line="276" w:lineRule="auto"/>
        <w:jc w:val="both"/>
        <w:rPr>
          <w:rFonts w:ascii="Times New Roman" w:hAnsi="Times New Roman" w:cs="Times New Roman"/>
        </w:rPr>
      </w:pPr>
    </w:p>
    <w:p w:rsidR="00E8011E" w:rsidRPr="00244B68" w:rsidRDefault="00E8011E">
      <w:pPr>
        <w:spacing w:after="130" w:line="276" w:lineRule="auto"/>
        <w:jc w:val="both"/>
        <w:rPr>
          <w:rFonts w:ascii="Times New Roman" w:hAnsi="Times New Roman" w:cs="Times New Roman"/>
        </w:rPr>
      </w:pPr>
    </w:p>
    <w:p w:rsidR="002A7081" w:rsidRPr="00244B68" w:rsidRDefault="000A24F2">
      <w:pPr>
        <w:pStyle w:val="Heading2"/>
        <w:spacing w:before="200" w:after="80"/>
        <w:rPr>
          <w:rFonts w:ascii="Times New Roman" w:hAnsi="Times New Roman" w:cs="Times New Roman"/>
        </w:rPr>
      </w:pPr>
      <w:r>
        <w:rPr>
          <w:rFonts w:ascii="Segoe UI Symbol" w:hAnsi="Segoe UI Symbol" w:cs="Segoe UI Symbol"/>
          <w:color w:val="0F7FC4"/>
          <w:sz w:val="24"/>
          <w:szCs w:val="24"/>
        </w:rPr>
        <w:lastRenderedPageBreak/>
        <w:t>▍</w:t>
      </w:r>
      <w:r>
        <w:rPr>
          <w:rFonts w:ascii="Times New Roman" w:hAnsi="Times New Roman" w:cs="Times New Roman"/>
          <w:color w:val="0F7FC4"/>
          <w:sz w:val="24"/>
          <w:szCs w:val="24"/>
        </w:rPr>
        <w:t xml:space="preserve"> </w:t>
      </w:r>
      <w:r>
        <w:rPr>
          <w:rFonts w:ascii="Times New Roman" w:hAnsi="Times New Roman" w:cs="Times New Roman"/>
        </w:rPr>
        <w:t xml:space="preserve">Dashboard 5 </w:t>
      </w:r>
      <w:r w:rsidR="002B0252">
        <w:rPr>
          <w:rFonts w:ascii="Times New Roman" w:hAnsi="Times New Roman" w:cs="Times New Roman"/>
        </w:rPr>
        <w:t>-</w:t>
      </w:r>
      <w:r>
        <w:rPr>
          <w:rFonts w:ascii="Times New Roman" w:hAnsi="Times New Roman" w:cs="Times New Roman"/>
        </w:rPr>
        <w:t xml:space="preserve"> Threat Profile and Severity Breakdown</w:t>
      </w:r>
    </w:p>
    <w:p w:rsidR="00762BA0" w:rsidRDefault="00762BA0" w:rsidP="00762BA0">
      <w:pPr>
        <w:pStyle w:val="Heading3"/>
      </w:pPr>
      <w:r>
        <w:t>Attacks by Attack Type x Severity</w:t>
      </w:r>
    </w:p>
    <w:p w:rsidR="00762BA0" w:rsidRDefault="00762BA0" w:rsidP="00762BA0">
      <w:pPr>
        <w:pStyle w:val="NormalWeb"/>
      </w:pPr>
      <w:r>
        <w:t>Located in the top-left corner, this cross-tabulation table provides a precise numerical breakdown of attacks:</w:t>
      </w:r>
    </w:p>
    <w:p w:rsidR="00762BA0" w:rsidRDefault="00762BA0" w:rsidP="00762BA0">
      <w:pPr>
        <w:pStyle w:val="NormalWeb"/>
        <w:numPr>
          <w:ilvl w:val="0"/>
          <w:numId w:val="28"/>
        </w:numPr>
      </w:pPr>
      <w:r>
        <w:rPr>
          <w:b/>
          <w:bCs/>
        </w:rPr>
        <w:t>Rows:</w:t>
      </w:r>
      <w:r>
        <w:t xml:space="preserve"> Represents the Attack Type (DDoS, Intrusion, Malware).</w:t>
      </w:r>
    </w:p>
    <w:p w:rsidR="00762BA0" w:rsidRDefault="00762BA0" w:rsidP="00762BA0">
      <w:pPr>
        <w:pStyle w:val="NormalWeb"/>
        <w:numPr>
          <w:ilvl w:val="0"/>
          <w:numId w:val="28"/>
        </w:numPr>
      </w:pPr>
      <w:r>
        <w:rPr>
          <w:b/>
          <w:bCs/>
        </w:rPr>
        <w:t>Columns:</w:t>
      </w:r>
      <w:r>
        <w:t xml:space="preserve"> Represents the Severity Level (High, Low, Medium).</w:t>
      </w:r>
    </w:p>
    <w:p w:rsidR="00762BA0" w:rsidRDefault="00762BA0" w:rsidP="00762BA0">
      <w:pPr>
        <w:pStyle w:val="NormalWeb"/>
        <w:numPr>
          <w:ilvl w:val="0"/>
          <w:numId w:val="28"/>
        </w:numPr>
      </w:pPr>
      <w:r>
        <w:rPr>
          <w:b/>
          <w:bCs/>
        </w:rPr>
        <w:t>Data:</w:t>
      </w:r>
      <w:r>
        <w:t xml:space="preserve"> It displays the exact count of incidents for each intersection, culminating in total counts. The grand total of all attacks is exactly </w:t>
      </w:r>
      <w:r>
        <w:rPr>
          <w:b/>
          <w:bCs/>
        </w:rPr>
        <w:t>40000</w:t>
      </w:r>
      <w:r>
        <w:t>. The data shows a remarkably even spread, though DDoS has a marginally higher total (13428) compared to the others.</w:t>
      </w:r>
    </w:p>
    <w:p w:rsidR="00A9422F" w:rsidRDefault="00A9422F" w:rsidP="00A9422F">
      <w:pPr>
        <w:pStyle w:val="NormalWeb"/>
        <w:ind w:left="720"/>
      </w:pPr>
      <w:r>
        <w:rPr>
          <w:noProof/>
        </w:rPr>
        <w:drawing>
          <wp:inline distT="0" distB="0" distL="0" distR="0" wp14:anchorId="7EE4BB7A" wp14:editId="15B3AF75">
            <wp:extent cx="3762375" cy="1409700"/>
            <wp:effectExtent l="0" t="0" r="9525"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8772" t="27925" r="61215" b="51816"/>
                    <a:stretch/>
                  </pic:blipFill>
                  <pic:spPr bwMode="auto">
                    <a:xfrm>
                      <a:off x="0" y="0"/>
                      <a:ext cx="3762375" cy="1409700"/>
                    </a:xfrm>
                    <a:prstGeom prst="rect">
                      <a:avLst/>
                    </a:prstGeom>
                    <a:ln>
                      <a:noFill/>
                    </a:ln>
                    <a:extLst>
                      <a:ext uri="{53640926-AAD7-44D8-BBD7-CCE9431645EC}">
                        <a14:shadowObscured xmlns:a14="http://schemas.microsoft.com/office/drawing/2010/main"/>
                      </a:ext>
                    </a:extLst>
                  </pic:spPr>
                </pic:pic>
              </a:graphicData>
            </a:graphic>
          </wp:inline>
        </w:drawing>
      </w:r>
    </w:p>
    <w:p w:rsidR="00A9422F" w:rsidRDefault="00A9422F" w:rsidP="00762BA0">
      <w:pPr>
        <w:pStyle w:val="Heading3"/>
      </w:pPr>
    </w:p>
    <w:p w:rsidR="00A9422F" w:rsidRDefault="00A9422F" w:rsidP="00762BA0">
      <w:pPr>
        <w:pStyle w:val="Heading3"/>
      </w:pPr>
    </w:p>
    <w:p w:rsidR="00A9422F" w:rsidRDefault="00A9422F" w:rsidP="00762BA0">
      <w:pPr>
        <w:pStyle w:val="Heading3"/>
      </w:pPr>
    </w:p>
    <w:p w:rsidR="00A9422F" w:rsidRDefault="00A9422F" w:rsidP="00762BA0">
      <w:pPr>
        <w:pStyle w:val="Heading3"/>
      </w:pPr>
    </w:p>
    <w:p w:rsidR="00762BA0" w:rsidRDefault="00762BA0" w:rsidP="00762BA0">
      <w:pPr>
        <w:pStyle w:val="Heading3"/>
      </w:pPr>
      <w:r>
        <w:t>Action Taken by Attack Type</w:t>
      </w:r>
    </w:p>
    <w:p w:rsidR="00762BA0" w:rsidRDefault="00762BA0" w:rsidP="00762BA0">
      <w:pPr>
        <w:pStyle w:val="NormalWeb"/>
      </w:pPr>
      <w:r>
        <w:t>Positioned in the top-middle, this stacked column chart illustrates the security system's response to different threats:</w:t>
      </w:r>
    </w:p>
    <w:p w:rsidR="00762BA0" w:rsidRDefault="00762BA0" w:rsidP="00762BA0">
      <w:pPr>
        <w:pStyle w:val="NormalWeb"/>
        <w:numPr>
          <w:ilvl w:val="0"/>
          <w:numId w:val="29"/>
        </w:numPr>
      </w:pPr>
      <w:r>
        <w:rPr>
          <w:b/>
          <w:bCs/>
        </w:rPr>
        <w:t>X-Axis:</w:t>
      </w:r>
      <w:r>
        <w:t xml:space="preserve"> Attack Type (DDoS, Malware, Intrusion).</w:t>
      </w:r>
    </w:p>
    <w:p w:rsidR="00762BA0" w:rsidRDefault="00762BA0" w:rsidP="00762BA0">
      <w:pPr>
        <w:pStyle w:val="NormalWeb"/>
        <w:numPr>
          <w:ilvl w:val="0"/>
          <w:numId w:val="29"/>
        </w:numPr>
      </w:pPr>
      <w:r>
        <w:rPr>
          <w:b/>
          <w:bCs/>
        </w:rPr>
        <w:t>Y-Axis:</w:t>
      </w:r>
      <w:r>
        <w:t xml:space="preserve"> Count of Id (Attack volume).</w:t>
      </w:r>
    </w:p>
    <w:p w:rsidR="00762BA0" w:rsidRDefault="00762BA0" w:rsidP="00762BA0">
      <w:pPr>
        <w:pStyle w:val="NormalWeb"/>
        <w:numPr>
          <w:ilvl w:val="0"/>
          <w:numId w:val="29"/>
        </w:numPr>
      </w:pPr>
      <w:r>
        <w:rPr>
          <w:b/>
          <w:bCs/>
        </w:rPr>
        <w:t>Categories:</w:t>
      </w:r>
      <w:r>
        <w:t xml:space="preserve"> Each column is segmented into the action taken: </w:t>
      </w:r>
      <w:r>
        <w:rPr>
          <w:b/>
          <w:bCs/>
        </w:rPr>
        <w:t>Blocked</w:t>
      </w:r>
      <w:r>
        <w:t xml:space="preserve"> (Light Blue), </w:t>
      </w:r>
      <w:r>
        <w:rPr>
          <w:b/>
          <w:bCs/>
        </w:rPr>
        <w:t>Ignored</w:t>
      </w:r>
      <w:r>
        <w:t xml:space="preserve"> (Dark Blue), and </w:t>
      </w:r>
      <w:r>
        <w:rPr>
          <w:b/>
          <w:bCs/>
        </w:rPr>
        <w:t>Logged</w:t>
      </w:r>
      <w:r>
        <w:t xml:space="preserve"> (Orange).</w:t>
      </w:r>
    </w:p>
    <w:p w:rsidR="00762BA0" w:rsidRDefault="00762BA0" w:rsidP="00762BA0">
      <w:pPr>
        <w:pStyle w:val="NormalWeb"/>
        <w:numPr>
          <w:ilvl w:val="0"/>
          <w:numId w:val="29"/>
        </w:numPr>
      </w:pPr>
      <w:r>
        <w:rPr>
          <w:b/>
          <w:bCs/>
        </w:rPr>
        <w:t>Trend:</w:t>
      </w:r>
      <w:r>
        <w:t xml:space="preserve"> The distribution of the actions taken is highly uniform across all three attack types, with each action segment accounting for roughly 4.3K to 4.6K incidents.</w:t>
      </w:r>
    </w:p>
    <w:p w:rsidR="00A9422F" w:rsidRDefault="00A9422F" w:rsidP="00A9422F">
      <w:pPr>
        <w:pStyle w:val="NormalWeb"/>
        <w:ind w:left="720"/>
      </w:pPr>
      <w:r>
        <w:t xml:space="preserve">           </w:t>
      </w:r>
      <w:r>
        <w:rPr>
          <w:noProof/>
        </w:rPr>
        <w:drawing>
          <wp:inline distT="0" distB="0" distL="0" distR="0" wp14:anchorId="6737CE3B" wp14:editId="04F7D463">
            <wp:extent cx="4238625" cy="1866900"/>
            <wp:effectExtent l="0" t="0" r="952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38785" t="21628" r="44901" b="52911"/>
                    <a:stretch/>
                  </pic:blipFill>
                  <pic:spPr bwMode="auto">
                    <a:xfrm>
                      <a:off x="0" y="0"/>
                      <a:ext cx="4238625" cy="1866900"/>
                    </a:xfrm>
                    <a:prstGeom prst="rect">
                      <a:avLst/>
                    </a:prstGeom>
                    <a:ln>
                      <a:noFill/>
                    </a:ln>
                    <a:extLst>
                      <a:ext uri="{53640926-AAD7-44D8-BBD7-CCE9431645EC}">
                        <a14:shadowObscured xmlns:a14="http://schemas.microsoft.com/office/drawing/2010/main"/>
                      </a:ext>
                    </a:extLst>
                  </pic:spPr>
                </pic:pic>
              </a:graphicData>
            </a:graphic>
          </wp:inline>
        </w:drawing>
      </w:r>
    </w:p>
    <w:p w:rsidR="00762BA0" w:rsidRDefault="00762BA0" w:rsidP="00762BA0">
      <w:pPr>
        <w:pStyle w:val="Heading3"/>
      </w:pPr>
      <w:r>
        <w:t>Key Performance Indicators (KPIs)</w:t>
      </w:r>
    </w:p>
    <w:p w:rsidR="00762BA0" w:rsidRDefault="00762BA0" w:rsidP="00762BA0">
      <w:pPr>
        <w:pStyle w:val="NormalWeb"/>
      </w:pPr>
      <w:r>
        <w:lastRenderedPageBreak/>
        <w:t>Found in the top-right corner, these two standalone cards highlight specific top-level metrics:</w:t>
      </w:r>
    </w:p>
    <w:p w:rsidR="00762BA0" w:rsidRDefault="00762BA0" w:rsidP="00762BA0">
      <w:pPr>
        <w:pStyle w:val="NormalWeb"/>
        <w:numPr>
          <w:ilvl w:val="0"/>
          <w:numId w:val="30"/>
        </w:numPr>
      </w:pPr>
      <w:r>
        <w:rPr>
          <w:b/>
          <w:bCs/>
        </w:rPr>
        <w:t>% High Severity:</w:t>
      </w:r>
      <w:r>
        <w:t xml:space="preserve"> Displays a value of </w:t>
      </w:r>
      <w:r>
        <w:rPr>
          <w:b/>
          <w:bCs/>
        </w:rPr>
        <w:t>0.33</w:t>
      </w:r>
      <w:r>
        <w:t xml:space="preserve"> (representing 33%), indicating the proportion of the total attacks that were classified with a high severity level.</w:t>
      </w:r>
    </w:p>
    <w:p w:rsidR="00762BA0" w:rsidRDefault="00762BA0" w:rsidP="00762BA0">
      <w:pPr>
        <w:pStyle w:val="NormalWeb"/>
        <w:numPr>
          <w:ilvl w:val="0"/>
          <w:numId w:val="30"/>
        </w:numPr>
      </w:pPr>
      <w:r>
        <w:rPr>
          <w:b/>
          <w:bCs/>
        </w:rPr>
        <w:t>Malware Detected:</w:t>
      </w:r>
      <w:r>
        <w:t xml:space="preserve"> Displays a count of </w:t>
      </w:r>
      <w:r>
        <w:rPr>
          <w:b/>
          <w:bCs/>
        </w:rPr>
        <w:t>20K</w:t>
      </w:r>
      <w:r>
        <w:t>, indicating the total volume of malware incidents detected in this specific context.</w:t>
      </w:r>
    </w:p>
    <w:p w:rsidR="00A9422F" w:rsidRDefault="00A9422F" w:rsidP="00A9422F">
      <w:pPr>
        <w:pStyle w:val="NormalWeb"/>
        <w:ind w:left="720"/>
      </w:pPr>
      <w:r>
        <w:t xml:space="preserve">                         </w:t>
      </w:r>
      <w:r>
        <w:rPr>
          <w:noProof/>
        </w:rPr>
        <w:drawing>
          <wp:inline distT="0" distB="0" distL="0" distR="0" wp14:anchorId="77AFFC13" wp14:editId="2209051C">
            <wp:extent cx="2447925" cy="1485900"/>
            <wp:effectExtent l="0" t="0" r="952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55102" t="21354" r="34936" b="52638"/>
                    <a:stretch/>
                  </pic:blipFill>
                  <pic:spPr bwMode="auto">
                    <a:xfrm>
                      <a:off x="0" y="0"/>
                      <a:ext cx="2447925" cy="1485900"/>
                    </a:xfrm>
                    <a:prstGeom prst="rect">
                      <a:avLst/>
                    </a:prstGeom>
                    <a:ln>
                      <a:noFill/>
                    </a:ln>
                    <a:extLst>
                      <a:ext uri="{53640926-AAD7-44D8-BBD7-CCE9431645EC}">
                        <a14:shadowObscured xmlns:a14="http://schemas.microsoft.com/office/drawing/2010/main"/>
                      </a:ext>
                    </a:extLst>
                  </pic:spPr>
                </pic:pic>
              </a:graphicData>
            </a:graphic>
          </wp:inline>
        </w:drawing>
      </w:r>
    </w:p>
    <w:p w:rsidR="00762BA0" w:rsidRDefault="00762BA0" w:rsidP="00762BA0">
      <w:pPr>
        <w:pStyle w:val="Heading3"/>
      </w:pPr>
      <w:r>
        <w:t>Total Attacks Decomposition</w:t>
      </w:r>
    </w:p>
    <w:p w:rsidR="00762BA0" w:rsidRDefault="00762BA0" w:rsidP="00762BA0">
      <w:pPr>
        <w:pStyle w:val="NormalWeb"/>
      </w:pPr>
      <w:r>
        <w:t>Taking up the bottom-left section, this decomposition tree visualizes the hierarchical breakdown of the attack data:</w:t>
      </w:r>
    </w:p>
    <w:p w:rsidR="00762BA0" w:rsidRDefault="00762BA0" w:rsidP="00762BA0">
      <w:pPr>
        <w:pStyle w:val="NormalWeb"/>
        <w:numPr>
          <w:ilvl w:val="0"/>
          <w:numId w:val="31"/>
        </w:numPr>
      </w:pPr>
      <w:r>
        <w:rPr>
          <w:b/>
          <w:bCs/>
        </w:rPr>
        <w:t>Root:</w:t>
      </w:r>
      <w:r>
        <w:t xml:space="preserve"> Starts with the total attack volume of </w:t>
      </w:r>
      <w:r>
        <w:rPr>
          <w:b/>
          <w:bCs/>
        </w:rPr>
        <w:t>40000</w:t>
      </w:r>
      <w:r>
        <w:t>.</w:t>
      </w:r>
    </w:p>
    <w:p w:rsidR="00762BA0" w:rsidRDefault="00762BA0" w:rsidP="00762BA0">
      <w:pPr>
        <w:pStyle w:val="NormalWeb"/>
        <w:numPr>
          <w:ilvl w:val="0"/>
          <w:numId w:val="31"/>
        </w:numPr>
      </w:pPr>
      <w:r>
        <w:rPr>
          <w:b/>
          <w:bCs/>
        </w:rPr>
        <w:t>First Branch (Attack Type):</w:t>
      </w:r>
      <w:r>
        <w:t xml:space="preserve"> Splits the total into DDoS (13428), Malware (13307), and Intrusion (13265).</w:t>
      </w:r>
    </w:p>
    <w:p w:rsidR="00762BA0" w:rsidRDefault="00762BA0" w:rsidP="00762BA0">
      <w:pPr>
        <w:pStyle w:val="NormalWeb"/>
        <w:numPr>
          <w:ilvl w:val="0"/>
          <w:numId w:val="31"/>
        </w:numPr>
      </w:pPr>
      <w:r>
        <w:rPr>
          <w:b/>
          <w:bCs/>
        </w:rPr>
        <w:t>Second Branch (Severity Level):</w:t>
      </w:r>
      <w:r>
        <w:t xml:space="preserve"> The visual specifically expands the DDoS branch to show its composition by severity: High (4523), Medium (4455), and Low (4450).</w:t>
      </w:r>
    </w:p>
    <w:p w:rsidR="00A9422F" w:rsidRDefault="00A9422F" w:rsidP="00A9422F">
      <w:pPr>
        <w:pStyle w:val="NormalWeb"/>
        <w:ind w:left="720"/>
      </w:pPr>
      <w:r>
        <w:t xml:space="preserve">                        </w:t>
      </w:r>
      <w:r>
        <w:rPr>
          <w:noProof/>
        </w:rPr>
        <w:drawing>
          <wp:inline distT="0" distB="0" distL="0" distR="0" wp14:anchorId="2CE9319C" wp14:editId="0CC50465">
            <wp:extent cx="3638550" cy="1876425"/>
            <wp:effectExtent l="0" t="0" r="0"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8927" t="46267" r="68141" b="18964"/>
                    <a:stretch/>
                  </pic:blipFill>
                  <pic:spPr bwMode="auto">
                    <a:xfrm>
                      <a:off x="0" y="0"/>
                      <a:ext cx="3638550" cy="1876425"/>
                    </a:xfrm>
                    <a:prstGeom prst="rect">
                      <a:avLst/>
                    </a:prstGeom>
                    <a:ln>
                      <a:noFill/>
                    </a:ln>
                    <a:extLst>
                      <a:ext uri="{53640926-AAD7-44D8-BBD7-CCE9431645EC}">
                        <a14:shadowObscured xmlns:a14="http://schemas.microsoft.com/office/drawing/2010/main"/>
                      </a:ext>
                    </a:extLst>
                  </pic:spPr>
                </pic:pic>
              </a:graphicData>
            </a:graphic>
          </wp:inline>
        </w:drawing>
      </w:r>
    </w:p>
    <w:p w:rsidR="00762BA0" w:rsidRDefault="00762BA0" w:rsidP="00762BA0">
      <w:pPr>
        <w:pStyle w:val="Heading3"/>
      </w:pPr>
      <w:r>
        <w:t>Severity Mix by Network Segment</w:t>
      </w:r>
    </w:p>
    <w:p w:rsidR="00762BA0" w:rsidRDefault="00762BA0" w:rsidP="00762BA0">
      <w:pPr>
        <w:pStyle w:val="NormalWeb"/>
      </w:pPr>
      <w:r>
        <w:t>Located in the middle-right area, this stacked horizontal bar chart shows how attack severities are distributed across different parts of the network:</w:t>
      </w:r>
    </w:p>
    <w:p w:rsidR="00762BA0" w:rsidRDefault="00762BA0" w:rsidP="00762BA0">
      <w:pPr>
        <w:pStyle w:val="NormalWeb"/>
        <w:numPr>
          <w:ilvl w:val="0"/>
          <w:numId w:val="32"/>
        </w:numPr>
      </w:pPr>
      <w:r>
        <w:rPr>
          <w:b/>
          <w:bCs/>
        </w:rPr>
        <w:t>Y-Axis:</w:t>
      </w:r>
      <w:r>
        <w:t xml:space="preserve"> Network Segments (Segment C, Segment B, Segment A).</w:t>
      </w:r>
    </w:p>
    <w:p w:rsidR="00762BA0" w:rsidRDefault="00762BA0" w:rsidP="00762BA0">
      <w:pPr>
        <w:pStyle w:val="NormalWeb"/>
        <w:numPr>
          <w:ilvl w:val="0"/>
          <w:numId w:val="32"/>
        </w:numPr>
      </w:pPr>
      <w:r>
        <w:rPr>
          <w:b/>
          <w:bCs/>
        </w:rPr>
        <w:t>X-Axis:</w:t>
      </w:r>
      <w:r>
        <w:t xml:space="preserve"> Count of Id.</w:t>
      </w:r>
    </w:p>
    <w:p w:rsidR="00762BA0" w:rsidRDefault="00762BA0" w:rsidP="00762BA0">
      <w:pPr>
        <w:pStyle w:val="NormalWeb"/>
        <w:numPr>
          <w:ilvl w:val="0"/>
          <w:numId w:val="32"/>
        </w:numPr>
      </w:pPr>
      <w:r>
        <w:rPr>
          <w:b/>
          <w:bCs/>
        </w:rPr>
        <w:t>Categories:</w:t>
      </w:r>
      <w:r>
        <w:t xml:space="preserve"> High (Light Blue), Low (Dark Blue), and Medium (Orange) severity levels.</w:t>
      </w:r>
    </w:p>
    <w:p w:rsidR="00762BA0" w:rsidRDefault="00762BA0" w:rsidP="00762BA0">
      <w:pPr>
        <w:pStyle w:val="NormalWeb"/>
        <w:numPr>
          <w:ilvl w:val="0"/>
          <w:numId w:val="32"/>
        </w:numPr>
      </w:pPr>
      <w:r>
        <w:rPr>
          <w:b/>
          <w:bCs/>
        </w:rPr>
        <w:t>Trend:</w:t>
      </w:r>
      <w:r>
        <w:t xml:space="preserve"> The chart reveals that every network segment experiences a virtually identical volume and proportional mix of high, low, and medium severity attacks.</w:t>
      </w:r>
    </w:p>
    <w:p w:rsidR="00BD074C" w:rsidRDefault="00BD074C" w:rsidP="00A9422F">
      <w:pPr>
        <w:pStyle w:val="NormalWeb"/>
        <w:ind w:left="720"/>
      </w:pPr>
    </w:p>
    <w:p w:rsidR="00BD074C" w:rsidRDefault="00BD074C" w:rsidP="00A9422F">
      <w:pPr>
        <w:pStyle w:val="NormalWeb"/>
        <w:ind w:left="720"/>
      </w:pPr>
    </w:p>
    <w:p w:rsidR="00A9422F" w:rsidRDefault="00A9422F" w:rsidP="00A9422F">
      <w:pPr>
        <w:pStyle w:val="NormalWeb"/>
        <w:ind w:left="720"/>
      </w:pPr>
      <w:r>
        <w:t xml:space="preserve">                         </w:t>
      </w:r>
      <w:r>
        <w:rPr>
          <w:noProof/>
        </w:rPr>
        <w:drawing>
          <wp:inline distT="0" distB="0" distL="0" distR="0" wp14:anchorId="5E4105D0" wp14:editId="7B70C6E6">
            <wp:extent cx="4539010" cy="237045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31552" t="47363" r="45054" b="37032"/>
                    <a:stretch/>
                  </pic:blipFill>
                  <pic:spPr bwMode="auto">
                    <a:xfrm>
                      <a:off x="0" y="0"/>
                      <a:ext cx="4561910" cy="2382414"/>
                    </a:xfrm>
                    <a:prstGeom prst="rect">
                      <a:avLst/>
                    </a:prstGeom>
                    <a:ln>
                      <a:noFill/>
                    </a:ln>
                    <a:extLst>
                      <a:ext uri="{53640926-AAD7-44D8-BBD7-CCE9431645EC}">
                        <a14:shadowObscured xmlns:a14="http://schemas.microsoft.com/office/drawing/2010/main"/>
                      </a:ext>
                    </a:extLst>
                  </pic:spPr>
                </pic:pic>
              </a:graphicData>
            </a:graphic>
          </wp:inline>
        </w:drawing>
      </w:r>
    </w:p>
    <w:p w:rsidR="00BD074C" w:rsidRDefault="00BD074C" w:rsidP="00762BA0">
      <w:pPr>
        <w:pStyle w:val="Heading3"/>
      </w:pPr>
    </w:p>
    <w:p w:rsidR="00BD074C" w:rsidRDefault="00BD074C" w:rsidP="00762BA0">
      <w:pPr>
        <w:pStyle w:val="Heading3"/>
      </w:pPr>
    </w:p>
    <w:p w:rsidR="00BD074C" w:rsidRDefault="00BD074C" w:rsidP="00762BA0">
      <w:pPr>
        <w:pStyle w:val="Heading3"/>
      </w:pPr>
    </w:p>
    <w:p w:rsidR="00BD074C" w:rsidRDefault="00BD074C" w:rsidP="00762BA0">
      <w:pPr>
        <w:pStyle w:val="Heading3"/>
      </w:pPr>
    </w:p>
    <w:p w:rsidR="00762BA0" w:rsidRDefault="00762BA0" w:rsidP="00762BA0">
      <w:pPr>
        <w:pStyle w:val="Heading3"/>
      </w:pPr>
      <w:r>
        <w:t>Attack Type Rank across Anomaly Bands</w:t>
      </w:r>
    </w:p>
    <w:p w:rsidR="00762BA0" w:rsidRDefault="00762BA0" w:rsidP="00762BA0">
      <w:pPr>
        <w:pStyle w:val="NormalWeb"/>
      </w:pPr>
      <w:r>
        <w:t>Positioned in the bottom-middle, this ribbon chart tracks the flow and ranking of attack types across different scoring buckets:</w:t>
      </w:r>
    </w:p>
    <w:p w:rsidR="00762BA0" w:rsidRDefault="00762BA0" w:rsidP="00762BA0">
      <w:pPr>
        <w:pStyle w:val="NormalWeb"/>
        <w:numPr>
          <w:ilvl w:val="0"/>
          <w:numId w:val="33"/>
        </w:numPr>
      </w:pPr>
      <w:r>
        <w:rPr>
          <w:b/>
          <w:bCs/>
        </w:rPr>
        <w:t>X-Axis:</w:t>
      </w:r>
      <w:r>
        <w:t xml:space="preserve"> Anomaly Score Bands (non-sequential: 51-75, 76-100, 0-25, 26-50).</w:t>
      </w:r>
    </w:p>
    <w:p w:rsidR="00762BA0" w:rsidRDefault="00762BA0" w:rsidP="00762BA0">
      <w:pPr>
        <w:pStyle w:val="NormalWeb"/>
        <w:numPr>
          <w:ilvl w:val="0"/>
          <w:numId w:val="33"/>
        </w:numPr>
      </w:pPr>
      <w:r>
        <w:rPr>
          <w:b/>
          <w:bCs/>
        </w:rPr>
        <w:t>Categories:</w:t>
      </w:r>
      <w:r>
        <w:t xml:space="preserve"> DDoS (Light Blue), Intrusion (Dark Blue), and Malware (Orange).</w:t>
      </w:r>
    </w:p>
    <w:p w:rsidR="00762BA0" w:rsidRDefault="00762BA0" w:rsidP="00762BA0">
      <w:pPr>
        <w:pStyle w:val="NormalWeb"/>
        <w:numPr>
          <w:ilvl w:val="0"/>
          <w:numId w:val="33"/>
        </w:numPr>
      </w:pPr>
      <w:r>
        <w:rPr>
          <w:b/>
          <w:bCs/>
        </w:rPr>
        <w:t>Trend:</w:t>
      </w:r>
      <w:r>
        <w:t xml:space="preserve"> The twisting ribbons illustrate how the relative rank and volume of each attack type fluctuate depending on the specific anomaly score band they fall into.</w:t>
      </w:r>
    </w:p>
    <w:p w:rsidR="00A9422F" w:rsidRDefault="00A9422F" w:rsidP="00A9422F">
      <w:pPr>
        <w:pStyle w:val="NormalWeb"/>
        <w:ind w:left="720"/>
        <w:rPr>
          <w:b/>
          <w:bCs/>
        </w:rPr>
      </w:pPr>
      <w:r>
        <w:rPr>
          <w:noProof/>
        </w:rPr>
        <w:drawing>
          <wp:inline distT="0" distB="0" distL="0" distR="0" wp14:anchorId="091B0731" wp14:editId="2DFB1E36">
            <wp:extent cx="4743450" cy="2020186"/>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31397" t="62420" r="45208" b="19237"/>
                    <a:stretch/>
                  </pic:blipFill>
                  <pic:spPr bwMode="auto">
                    <a:xfrm>
                      <a:off x="0" y="0"/>
                      <a:ext cx="4766614" cy="2030051"/>
                    </a:xfrm>
                    <a:prstGeom prst="rect">
                      <a:avLst/>
                    </a:prstGeom>
                    <a:ln>
                      <a:noFill/>
                    </a:ln>
                    <a:extLst>
                      <a:ext uri="{53640926-AAD7-44D8-BBD7-CCE9431645EC}">
                        <a14:shadowObscured xmlns:a14="http://schemas.microsoft.com/office/drawing/2010/main"/>
                      </a:ext>
                    </a:extLst>
                  </pic:spPr>
                </pic:pic>
              </a:graphicData>
            </a:graphic>
          </wp:inline>
        </w:drawing>
      </w:r>
    </w:p>
    <w:p w:rsidR="00A9422F" w:rsidRDefault="00A9422F" w:rsidP="00A9422F">
      <w:pPr>
        <w:pStyle w:val="NormalWeb"/>
        <w:ind w:left="720"/>
      </w:pPr>
    </w:p>
    <w:p w:rsidR="00BD074C" w:rsidRDefault="00BD074C" w:rsidP="00A9422F">
      <w:pPr>
        <w:pStyle w:val="NormalWeb"/>
        <w:ind w:left="720"/>
      </w:pPr>
    </w:p>
    <w:p w:rsidR="00BD074C" w:rsidRDefault="00BD074C" w:rsidP="00A9422F">
      <w:pPr>
        <w:pStyle w:val="NormalWeb"/>
        <w:ind w:left="720"/>
      </w:pPr>
    </w:p>
    <w:p w:rsidR="00BD074C" w:rsidRDefault="00BD074C" w:rsidP="00A9422F">
      <w:pPr>
        <w:pStyle w:val="NormalWeb"/>
        <w:ind w:left="720"/>
      </w:pPr>
    </w:p>
    <w:p w:rsidR="00BD074C" w:rsidRDefault="00BD074C" w:rsidP="00A9422F">
      <w:pPr>
        <w:pStyle w:val="NormalWeb"/>
        <w:ind w:left="720"/>
      </w:pPr>
    </w:p>
    <w:p w:rsidR="00762BA0" w:rsidRDefault="00762BA0" w:rsidP="00762BA0">
      <w:pPr>
        <w:pStyle w:val="Heading3"/>
      </w:pPr>
      <w:r>
        <w:t>Attack Type and Signature</w:t>
      </w:r>
    </w:p>
    <w:p w:rsidR="00762BA0" w:rsidRDefault="00762BA0" w:rsidP="00762BA0">
      <w:pPr>
        <w:pStyle w:val="NormalWeb"/>
      </w:pPr>
      <w:r>
        <w:t>Located in the far bottom-right corner, this treemap visualizes the composition of specific threat signatures within the broader attack categories:</w:t>
      </w:r>
    </w:p>
    <w:p w:rsidR="00762BA0" w:rsidRDefault="00762BA0" w:rsidP="00762BA0">
      <w:pPr>
        <w:pStyle w:val="NormalWeb"/>
        <w:numPr>
          <w:ilvl w:val="0"/>
          <w:numId w:val="34"/>
        </w:numPr>
      </w:pPr>
      <w:r>
        <w:rPr>
          <w:b/>
          <w:bCs/>
        </w:rPr>
        <w:t>Primary Categories:</w:t>
      </w:r>
      <w:r>
        <w:t xml:space="preserve"> The map is divided into three main color blocks representing </w:t>
      </w:r>
      <w:r>
        <w:rPr>
          <w:b/>
          <w:bCs/>
        </w:rPr>
        <w:t>DDoS</w:t>
      </w:r>
      <w:r>
        <w:t xml:space="preserve"> (Light Blue), </w:t>
      </w:r>
      <w:r>
        <w:rPr>
          <w:b/>
          <w:bCs/>
        </w:rPr>
        <w:t>Malware</w:t>
      </w:r>
      <w:r>
        <w:t xml:space="preserve"> (Orange), and </w:t>
      </w:r>
      <w:r>
        <w:rPr>
          <w:b/>
          <w:bCs/>
        </w:rPr>
        <w:t>Intrusion</w:t>
      </w:r>
      <w:r>
        <w:t xml:space="preserve"> (Purple).</w:t>
      </w:r>
    </w:p>
    <w:p w:rsidR="00762BA0" w:rsidRDefault="00762BA0" w:rsidP="00762BA0">
      <w:pPr>
        <w:pStyle w:val="NormalWeb"/>
        <w:numPr>
          <w:ilvl w:val="0"/>
          <w:numId w:val="34"/>
        </w:numPr>
      </w:pPr>
      <w:r>
        <w:rPr>
          <w:b/>
          <w:bCs/>
        </w:rPr>
        <w:t>Sub-categories:</w:t>
      </w:r>
      <w:r>
        <w:t xml:space="preserve"> Each of these primary blocks is further subdivided to show the proportion of specific signatures, labeled as </w:t>
      </w:r>
      <w:r>
        <w:rPr>
          <w:b/>
          <w:bCs/>
        </w:rPr>
        <w:t>Known Pattern A</w:t>
      </w:r>
      <w:r>
        <w:t xml:space="preserve"> and </w:t>
      </w:r>
      <w:r>
        <w:rPr>
          <w:b/>
          <w:bCs/>
        </w:rPr>
        <w:t>Known Pattern B</w:t>
      </w:r>
      <w:r>
        <w:t>, indicating the makeup of recognized threats within each main attack type.</w:t>
      </w:r>
    </w:p>
    <w:p w:rsidR="00722E5B" w:rsidRPr="00244B68" w:rsidRDefault="00A9422F">
      <w:pPr>
        <w:pStyle w:val="Heading2"/>
        <w:spacing w:before="200" w:after="80"/>
        <w:rPr>
          <w:rFonts w:ascii="Times New Roman" w:hAnsi="Times New Roman" w:cs="Times New Roman"/>
        </w:rPr>
      </w:pPr>
      <w:r>
        <w:rPr>
          <w:rFonts w:ascii="Times New Roman" w:hAnsi="Times New Roman" w:cs="Times New Roman"/>
        </w:rPr>
        <w:t xml:space="preserve">                             </w:t>
      </w:r>
      <w:r>
        <w:rPr>
          <w:noProof/>
        </w:rPr>
        <w:drawing>
          <wp:inline distT="0" distB="0" distL="0" distR="0" wp14:anchorId="4AE13F0A" wp14:editId="52830C9A">
            <wp:extent cx="3248025" cy="2533650"/>
            <wp:effectExtent l="0" t="0" r="952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54667" t="46815" r="35064" b="19511"/>
                    <a:stretch/>
                  </pic:blipFill>
                  <pic:spPr bwMode="auto">
                    <a:xfrm>
                      <a:off x="0" y="0"/>
                      <a:ext cx="3248025" cy="2533650"/>
                    </a:xfrm>
                    <a:prstGeom prst="rect">
                      <a:avLst/>
                    </a:prstGeom>
                    <a:ln>
                      <a:noFill/>
                    </a:ln>
                    <a:extLst>
                      <a:ext uri="{53640926-AAD7-44D8-BBD7-CCE9431645EC}">
                        <a14:shadowObscured xmlns:a14="http://schemas.microsoft.com/office/drawing/2010/main"/>
                      </a:ext>
                    </a:extLst>
                  </pic:spPr>
                </pic:pic>
              </a:graphicData>
            </a:graphic>
          </wp:inline>
        </w:drawing>
      </w:r>
      <w:r>
        <w:rPr>
          <w:rFonts w:ascii="Times New Roman" w:hAnsi="Times New Roman" w:cs="Times New Roman"/>
        </w:rPr>
        <w:t xml:space="preserve">                        </w:t>
      </w:r>
    </w:p>
    <w:p w:rsidR="002A7081" w:rsidRPr="00244B68" w:rsidRDefault="002A7081">
      <w:pPr>
        <w:spacing w:before="120" w:after="20"/>
        <w:jc w:val="center"/>
        <w:rPr>
          <w:rFonts w:ascii="Times New Roman" w:hAnsi="Times New Roman" w:cs="Times New Roman"/>
        </w:rPr>
      </w:pPr>
    </w:p>
    <w:p w:rsidR="00722E5B" w:rsidRPr="00244B68" w:rsidRDefault="00722E5B">
      <w:pPr>
        <w:spacing w:before="40" w:after="200"/>
        <w:jc w:val="center"/>
        <w:rPr>
          <w:rFonts w:ascii="Times New Roman" w:hAnsi="Times New Roman" w:cs="Times New Roman"/>
          <w:i/>
          <w:iCs/>
          <w:color w:val="5B6B7B"/>
          <w:sz w:val="18"/>
          <w:szCs w:val="18"/>
        </w:rPr>
      </w:pPr>
    </w:p>
    <w:p w:rsidR="00722E5B" w:rsidRPr="00244B68" w:rsidRDefault="00722E5B">
      <w:pPr>
        <w:spacing w:before="40" w:after="200"/>
        <w:jc w:val="center"/>
        <w:rPr>
          <w:rFonts w:ascii="Times New Roman" w:hAnsi="Times New Roman" w:cs="Times New Roman"/>
        </w:rPr>
      </w:pPr>
    </w:p>
    <w:p w:rsidR="002A7081" w:rsidRPr="00244B68" w:rsidRDefault="000A24F2">
      <w:pPr>
        <w:spacing w:after="130" w:line="276" w:lineRule="auto"/>
        <w:jc w:val="both"/>
        <w:rPr>
          <w:rFonts w:ascii="Times New Roman" w:hAnsi="Times New Roman" w:cs="Times New Roman"/>
        </w:rPr>
      </w:pPr>
      <w:r>
        <w:rPr>
          <w:rFonts w:ascii="Times New Roman" w:hAnsi="Times New Roman" w:cs="Times New Roman"/>
        </w:rPr>
        <w:t>The final dashboard delivers the deepest threat profiling. A Total Attacks Decomposition tree lets analysts break attacks down by Attack Type and Severity interactively, supported by % High Severity (33.5%) and Malware Detected (20,000) cards. The Severity Mix by Network Segment and Action Taken by Attack Type charts relate severity and response to network structure and threat class, while the Attack Type &amp; Signature treemap and the Attack Type across Anomaly Bands ribbon expose signature and anomaly patterns. A final Attacks by Attack Type × Severity matrix consolidates the numbers.</w:t>
      </w:r>
    </w:p>
    <w:p w:rsidR="00BE1E47" w:rsidRDefault="00EA3F05">
      <w:pPr>
        <w:pStyle w:val="Heading2"/>
        <w:spacing w:before="200" w:after="80"/>
        <w:rPr>
          <w:rFonts w:ascii="Times New Roman" w:hAnsi="Times New Roman" w:cs="Times New Roman"/>
        </w:rPr>
      </w:pPr>
      <w:r>
        <w:rPr>
          <w:rFonts w:ascii="Segoe UI Symbol" w:hAnsi="Segoe UI Symbol" w:cs="Segoe UI Symbol"/>
          <w:color w:val="0F7FC4"/>
          <w:sz w:val="24"/>
          <w:szCs w:val="24"/>
        </w:rPr>
        <w:t>▍</w:t>
      </w:r>
      <w:r>
        <w:rPr>
          <w:rFonts w:ascii="Times New Roman" w:hAnsi="Times New Roman" w:cs="Times New Roman"/>
        </w:rPr>
        <w:t xml:space="preserve"> Dashboard 6 - Security Alert Monitoring</w:t>
      </w:r>
    </w:p>
    <w:p w:rsidR="00BE1E47" w:rsidRDefault="00EA3F05">
      <w:pPr>
        <w:pStyle w:val="Heading3"/>
      </w:pPr>
      <w:r>
        <w:t>% Alert Rate</w:t>
      </w:r>
    </w:p>
    <w:p w:rsidR="00BE1E47" w:rsidRDefault="00EA3F05">
      <w:pPr>
        <w:pStyle w:val="NormalWeb"/>
      </w:pPr>
      <w:r>
        <w:t>Positioned at the top of the left-hand KPI rail, this single-value card reports the % Alert Rate - the share of all 40,000 incidents that raised an alert or warning (Alerts/Warnings = “Alert Triggered”), calculated as DIVIDE([Total Alerts Triggered], [Attack]) × 100.</w:t>
      </w:r>
    </w:p>
    <w:p w:rsidR="00BE1E47" w:rsidRDefault="00EA3F05">
      <w:pPr>
        <w:pStyle w:val="NormalWeb"/>
      </w:pPr>
      <w:r>
        <w:t>Value displayed: 49.83% (19,933 of 40,000 incidents triggered an alert).</w:t>
      </w:r>
    </w:p>
    <w:p w:rsidR="00BE1E47" w:rsidRDefault="00EA3F05">
      <w:pPr>
        <w:pStyle w:val="NormalWeb"/>
      </w:pPr>
      <w:r>
        <w:t xml:space="preserve">Because almost exactly half of every incident generates an alert, the card confirms that the alerting layer is highly active and, on its own, cannot be used to prioritise - roughly one in two events would </w:t>
      </w:r>
      <w:r>
        <w:lastRenderedPageBreak/>
        <w:t>surface. This makes the severity- and response-based filtering elsewhere on the page essential for separating genuine signal from noise.</w:t>
      </w:r>
    </w:p>
    <w:p w:rsidR="00BE1E47" w:rsidRDefault="00EA3F05">
      <w:pPr>
        <w:pStyle w:val="NormalWeb"/>
        <w:pBdr>
          <w:top w:val="single" w:sz="6" w:space="10" w:color="BFBFBF"/>
          <w:left w:val="single" w:sz="6" w:space="10" w:color="BFBFBF"/>
          <w:bottom w:val="single" w:sz="6" w:space="10" w:color="BFBFBF"/>
          <w:right w:val="single" w:sz="6" w:space="10" w:color="BFBFBF"/>
        </w:pBdr>
        <w:shd w:val="clear" w:color="auto" w:fill="F2F2F2"/>
        <w:spacing w:before="160" w:after="160"/>
        <w:jc w:val="center"/>
      </w:pPr>
      <w:r>
        <w:rPr>
          <w:noProof/>
        </w:rPr>
        <w:drawing>
          <wp:inline distT="0" distB="0" distL="0" distR="0" wp14:anchorId="1A8ECAA9" wp14:editId="19FFFF7B">
            <wp:extent cx="2038350" cy="12287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35182" t="20356" r="55005" b="67324"/>
                    <a:stretch/>
                  </pic:blipFill>
                  <pic:spPr bwMode="auto">
                    <a:xfrm>
                      <a:off x="0" y="0"/>
                      <a:ext cx="2038350" cy="1228725"/>
                    </a:xfrm>
                    <a:prstGeom prst="rect">
                      <a:avLst/>
                    </a:prstGeom>
                    <a:ln>
                      <a:noFill/>
                    </a:ln>
                    <a:extLst>
                      <a:ext uri="{53640926-AAD7-44D8-BBD7-CCE9431645EC}">
                        <a14:shadowObscured xmlns:a14="http://schemas.microsoft.com/office/drawing/2010/main"/>
                      </a:ext>
                    </a:extLst>
                  </pic:spPr>
                </pic:pic>
              </a:graphicData>
            </a:graphic>
          </wp:inline>
        </w:drawing>
      </w:r>
    </w:p>
    <w:p w:rsidR="00BE1E47" w:rsidRDefault="00EA3F05">
      <w:pPr>
        <w:pStyle w:val="Heading3"/>
      </w:pPr>
      <w:r>
        <w:t>% IDS/IPS Rate</w:t>
      </w:r>
    </w:p>
    <w:p w:rsidR="00BE1E47" w:rsidRDefault="00EA3F05">
      <w:pPr>
        <w:pStyle w:val="NormalWeb"/>
      </w:pPr>
      <w:r>
        <w:t>The second card on the KPI rail shows the % IDS/IPS Alert Rate - the proportion of incidents for which the intrusion-detection / intrusion-prevention system produced alert data (IDS/IPS Alerts = “Alert Data”), i.e. DIVIDE([IDS/IPS Alert Count], [Attack]) × 100.</w:t>
      </w:r>
    </w:p>
    <w:p w:rsidR="00BE1E47" w:rsidRDefault="00EA3F05">
      <w:pPr>
        <w:pStyle w:val="NormalWeb"/>
      </w:pPr>
      <w:r>
        <w:t>Value displayed: 49.88% (19,950 of 40,000 incidents carried an IDS/IPS alert).</w:t>
      </w:r>
    </w:p>
    <w:p w:rsidR="00BE1E47" w:rsidRDefault="00EA3F05">
      <w:pPr>
        <w:pStyle w:val="NormalWeb"/>
      </w:pPr>
      <w:r>
        <w:t>The IDS/IPS layer fires on almost exactly half of all traffic, closely mirroring the general alert rate. The near-identical coverage suggests the two alerting mechanisms trigger largely in parallel rather than catching different populations of events - useful context when judging whether the sensors add independent value.</w:t>
      </w:r>
    </w:p>
    <w:p w:rsidR="00BE1E47" w:rsidRDefault="00EA3F05">
      <w:pPr>
        <w:pStyle w:val="NormalWeb"/>
        <w:pBdr>
          <w:top w:val="single" w:sz="6" w:space="10" w:color="BFBFBF"/>
          <w:left w:val="single" w:sz="6" w:space="10" w:color="BFBFBF"/>
          <w:bottom w:val="single" w:sz="6" w:space="10" w:color="BFBFBF"/>
          <w:right w:val="single" w:sz="6" w:space="10" w:color="BFBFBF"/>
        </w:pBdr>
        <w:shd w:val="clear" w:color="auto" w:fill="F2F2F2"/>
        <w:spacing w:before="160" w:after="160"/>
        <w:jc w:val="center"/>
      </w:pPr>
      <w:r>
        <w:rPr>
          <w:noProof/>
        </w:rPr>
        <w:drawing>
          <wp:inline distT="0" distB="0" distL="0" distR="0" wp14:anchorId="1E7EFBB4" wp14:editId="29A8FF16">
            <wp:extent cx="1543050" cy="94297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46019" t="20259" r="43207" b="66874"/>
                    <a:stretch/>
                  </pic:blipFill>
                  <pic:spPr bwMode="auto">
                    <a:xfrm>
                      <a:off x="0" y="0"/>
                      <a:ext cx="1543050" cy="942975"/>
                    </a:xfrm>
                    <a:prstGeom prst="rect">
                      <a:avLst/>
                    </a:prstGeom>
                    <a:ln>
                      <a:noFill/>
                    </a:ln>
                    <a:extLst>
                      <a:ext uri="{53640926-AAD7-44D8-BBD7-CCE9431645EC}">
                        <a14:shadowObscured xmlns:a14="http://schemas.microsoft.com/office/drawing/2010/main"/>
                      </a:ext>
                    </a:extLst>
                  </pic:spPr>
                </pic:pic>
              </a:graphicData>
            </a:graphic>
          </wp:inline>
        </w:drawing>
      </w:r>
    </w:p>
    <w:p w:rsidR="00BE1E47" w:rsidRDefault="00EA3F05">
      <w:pPr>
        <w:pStyle w:val="Heading3"/>
      </w:pPr>
      <w:r>
        <w:t>% Malware Detected</w:t>
      </w:r>
    </w:p>
    <w:p w:rsidR="00BE1E47" w:rsidRDefault="00EA3F05">
      <w:pPr>
        <w:pStyle w:val="NormalWeb"/>
      </w:pPr>
      <w:r>
        <w:t>The third KPI card reports the % Malware Indicator Rate - the share of incidents flagged with a malware indicator of compromise (Malware Indicators = “IoC Detected”), DIVIDE([Malware Detected], [Attack]) × 100.</w:t>
      </w:r>
    </w:p>
    <w:p w:rsidR="00BE1E47" w:rsidRDefault="00EA3F05">
      <w:pPr>
        <w:pStyle w:val="NormalWeb"/>
      </w:pPr>
      <w:r>
        <w:t>Value displayed: 50.00% (exactly 20,000 of 40,000 incidents carry a malware IoC).</w:t>
      </w:r>
    </w:p>
    <w:p w:rsidR="00BE1E47" w:rsidRDefault="00EA3F05">
      <w:pPr>
        <w:pStyle w:val="NormalWeb"/>
      </w:pPr>
      <w:r>
        <w:t>Malware indicators are present in precisely half of all records - the single largest risk signal on the page and consistent with the Milestone 3 finding of 20,000 IoC-positive incidents. It establishes that malware is not a niche threat in this environment but effectively a coin-flip on every event, which justifies the emphasis on blocking and firewall coverage across the rest of the dashboard.</w:t>
      </w:r>
    </w:p>
    <w:p w:rsidR="00BE1E47" w:rsidRPr="00EA3F05" w:rsidRDefault="00EA3F05">
      <w:pPr>
        <w:pStyle w:val="NormalWeb"/>
        <w:pBdr>
          <w:top w:val="single" w:sz="6" w:space="10" w:color="BFBFBF"/>
          <w:left w:val="single" w:sz="6" w:space="10" w:color="BFBFBF"/>
          <w:bottom w:val="single" w:sz="6" w:space="10" w:color="BFBFBF"/>
          <w:right w:val="single" w:sz="6" w:space="10" w:color="BFBFBF"/>
        </w:pBdr>
        <w:shd w:val="clear" w:color="auto" w:fill="F2F2F2"/>
        <w:spacing w:before="160" w:after="160"/>
        <w:jc w:val="center"/>
        <w:rPr>
          <w:b/>
        </w:rPr>
      </w:pPr>
      <w:r>
        <w:rPr>
          <w:noProof/>
        </w:rPr>
        <w:lastRenderedPageBreak/>
        <w:drawing>
          <wp:inline distT="0" distB="0" distL="0" distR="0" wp14:anchorId="724D7763" wp14:editId="72210325">
            <wp:extent cx="1847850" cy="847725"/>
            <wp:effectExtent l="0" t="0" r="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56331" t="20533" r="30125" b="66600"/>
                    <a:stretch/>
                  </pic:blipFill>
                  <pic:spPr bwMode="auto">
                    <a:xfrm>
                      <a:off x="0" y="0"/>
                      <a:ext cx="1847850" cy="847725"/>
                    </a:xfrm>
                    <a:prstGeom prst="rect">
                      <a:avLst/>
                    </a:prstGeom>
                    <a:ln>
                      <a:noFill/>
                    </a:ln>
                    <a:extLst>
                      <a:ext uri="{53640926-AAD7-44D8-BBD7-CCE9431645EC}">
                        <a14:shadowObscured xmlns:a14="http://schemas.microsoft.com/office/drawing/2010/main"/>
                      </a:ext>
                    </a:extLst>
                  </pic:spPr>
                </pic:pic>
              </a:graphicData>
            </a:graphic>
          </wp:inline>
        </w:drawing>
      </w:r>
    </w:p>
    <w:p w:rsidR="00BE1E47" w:rsidRDefault="00EA3F05">
      <w:pPr>
        <w:pStyle w:val="Heading3"/>
      </w:pPr>
      <w:r>
        <w:t>Blocked Rate %</w:t>
      </w:r>
    </w:p>
    <w:p w:rsidR="00BE1E47" w:rsidRDefault="00EA3F05">
      <w:pPr>
        <w:pStyle w:val="NormalWeb"/>
      </w:pPr>
      <w:r>
        <w:t>Anchoring the foot of the KPI rail, this gauge visual plots the Blocked Rate % - the percentage of incidents that were actively Blocked (Action Taken = “Blocked”), DIVIDE(Blocked, Total) × 100 - against a 0-100 scale.</w:t>
      </w:r>
    </w:p>
    <w:p w:rsidR="00BE1E47" w:rsidRDefault="00EA3F05">
      <w:pPr>
        <w:pStyle w:val="NormalWeb"/>
      </w:pPr>
      <w:r>
        <w:t>Needle value: 33.82% (13,529 of 40,000 incidents blocked).</w:t>
      </w:r>
    </w:p>
    <w:p w:rsidR="00BE1E47" w:rsidRDefault="00EA3F05">
      <w:pPr>
        <w:pStyle w:val="NormalWeb"/>
      </w:pPr>
      <w:r>
        <w:t>Only about a third of incidents are actually stopped at the point of detection, matching the 33.8% block rate reported in Milestone 3. Placing this gauge beside the ~50% alert and malware cards makes the central operational gap explicit: alerts fire on half of all events, yet only a third are blocked, so a large share of flagged - and potentially malicious - activity is still merely logged or ignored rather than prevented.</w:t>
      </w:r>
    </w:p>
    <w:p w:rsidR="00BE1E47" w:rsidRDefault="00EA3F05">
      <w:pPr>
        <w:pStyle w:val="NormalWeb"/>
        <w:pBdr>
          <w:top w:val="single" w:sz="6" w:space="10" w:color="BFBFBF"/>
          <w:left w:val="single" w:sz="6" w:space="10" w:color="BFBFBF"/>
          <w:bottom w:val="single" w:sz="6" w:space="10" w:color="BFBFBF"/>
          <w:right w:val="single" w:sz="6" w:space="10" w:color="BFBFBF"/>
        </w:pBdr>
        <w:shd w:val="clear" w:color="auto" w:fill="F2F2F2"/>
        <w:spacing w:before="160" w:after="160"/>
        <w:jc w:val="center"/>
      </w:pPr>
      <w:r>
        <w:rPr>
          <w:noProof/>
        </w:rPr>
        <w:drawing>
          <wp:inline distT="0" distB="0" distL="0" distR="0" wp14:anchorId="4D605F17" wp14:editId="24B7A95E">
            <wp:extent cx="2733675" cy="1476375"/>
            <wp:effectExtent l="0" t="0" r="9525"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48482" t="61325" r="30125" b="13762"/>
                    <a:stretch/>
                  </pic:blipFill>
                  <pic:spPr bwMode="auto">
                    <a:xfrm>
                      <a:off x="0" y="0"/>
                      <a:ext cx="2733675" cy="1476375"/>
                    </a:xfrm>
                    <a:prstGeom prst="rect">
                      <a:avLst/>
                    </a:prstGeom>
                    <a:ln>
                      <a:noFill/>
                    </a:ln>
                    <a:extLst>
                      <a:ext uri="{53640926-AAD7-44D8-BBD7-CCE9431645EC}">
                        <a14:shadowObscured xmlns:a14="http://schemas.microsoft.com/office/drawing/2010/main"/>
                      </a:ext>
                    </a:extLst>
                  </pic:spPr>
                </pic:pic>
              </a:graphicData>
            </a:graphic>
          </wp:inline>
        </w:drawing>
      </w:r>
    </w:p>
    <w:p w:rsidR="00BE1E47" w:rsidRDefault="00EA3F05">
      <w:pPr>
        <w:pStyle w:val="Heading3"/>
      </w:pPr>
      <w:r>
        <w:t>Alerts/Warnings Status by Attack Type</w:t>
      </w:r>
    </w:p>
    <w:p w:rsidR="00BE1E47" w:rsidRDefault="00EA3F05">
      <w:pPr>
        <w:pStyle w:val="NormalWeb"/>
      </w:pPr>
      <w:r>
        <w:t>This clustered column chart sits at the top-centre of the page. It plots the Attack count on the Y-axis, grouped along the X-axis by Attack Type (DDoS, Intrusion, Malware) and split within each group by Alerts/Warnings status (Alert Triggered vs No).</w:t>
      </w:r>
    </w:p>
    <w:p w:rsidR="00BE1E47" w:rsidRDefault="00EA3F05">
      <w:pPr>
        <w:pStyle w:val="NormalWeb"/>
      </w:pPr>
      <w:r>
        <w:t>DDoS - Alert Triggered: 6,673 · No alert: 6,755 (13,428 total)</w:t>
      </w:r>
    </w:p>
    <w:p w:rsidR="00BE1E47" w:rsidRDefault="00EA3F05">
      <w:pPr>
        <w:pStyle w:val="NormalWeb"/>
      </w:pPr>
      <w:r>
        <w:t>Intrusion - Alert Triggered: 6,525 · No alert: 6,740 (13,265 total)</w:t>
      </w:r>
    </w:p>
    <w:p w:rsidR="00BE1E47" w:rsidRDefault="00EA3F05">
      <w:pPr>
        <w:pStyle w:val="NormalWeb"/>
      </w:pPr>
      <w:r>
        <w:t>Malware - Alert Triggered: 6,735 · No alert: 6,572 (13,307 total)</w:t>
      </w:r>
    </w:p>
    <w:p w:rsidR="00BE1E47" w:rsidRDefault="00EA3F05">
      <w:pPr>
        <w:pStyle w:val="NormalWeb"/>
      </w:pPr>
      <w:r>
        <w:t>Alert coverage is close to a 50/50 split within every attack type, with Malware the only class where alerts slightly outnumber non-alerts (6,735 vs 6,572). The near-uniformity shows the alerting system is essentially attack-type agnostic - it is not tuned to fire more aggressively on any one threat class - which is important when assessing whether high-risk malware is being surfaced often enough.</w:t>
      </w:r>
    </w:p>
    <w:p w:rsidR="00BE1E47" w:rsidRDefault="00EA3F05">
      <w:pPr>
        <w:pStyle w:val="NormalWeb"/>
        <w:pBdr>
          <w:top w:val="single" w:sz="6" w:space="10" w:color="BFBFBF"/>
          <w:left w:val="single" w:sz="6" w:space="10" w:color="BFBFBF"/>
          <w:bottom w:val="single" w:sz="6" w:space="10" w:color="BFBFBF"/>
          <w:right w:val="single" w:sz="6" w:space="10" w:color="BFBFBF"/>
        </w:pBdr>
        <w:shd w:val="clear" w:color="auto" w:fill="F2F2F2"/>
        <w:spacing w:before="160" w:after="160"/>
        <w:jc w:val="center"/>
      </w:pPr>
      <w:r>
        <w:rPr>
          <w:noProof/>
        </w:rPr>
        <w:lastRenderedPageBreak/>
        <w:drawing>
          <wp:inline distT="0" distB="0" distL="0" distR="0" wp14:anchorId="056DF4F8" wp14:editId="387D1782">
            <wp:extent cx="2667000" cy="14478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26934" t="32853" r="51057" b="38401"/>
                    <a:stretch/>
                  </pic:blipFill>
                  <pic:spPr bwMode="auto">
                    <a:xfrm>
                      <a:off x="0" y="0"/>
                      <a:ext cx="2667000" cy="1447800"/>
                    </a:xfrm>
                    <a:prstGeom prst="rect">
                      <a:avLst/>
                    </a:prstGeom>
                    <a:ln>
                      <a:noFill/>
                    </a:ln>
                    <a:extLst>
                      <a:ext uri="{53640926-AAD7-44D8-BBD7-CCE9431645EC}">
                        <a14:shadowObscured xmlns:a14="http://schemas.microsoft.com/office/drawing/2010/main"/>
                      </a:ext>
                    </a:extLst>
                  </pic:spPr>
                </pic:pic>
              </a:graphicData>
            </a:graphic>
          </wp:inline>
        </w:drawing>
      </w:r>
    </w:p>
    <w:p w:rsidR="00BE1E47" w:rsidRDefault="00EA3F05">
      <w:pPr>
        <w:pStyle w:val="Heading3"/>
      </w:pPr>
      <w:r>
        <w:t>Alerts Triggered over Time</w:t>
      </w:r>
    </w:p>
    <w:p w:rsidR="00BE1E47" w:rsidRDefault="00EA3F05">
      <w:pPr>
        <w:pStyle w:val="NormalWeb"/>
      </w:pPr>
      <w:r>
        <w:t>Running across the top-right, this line chart trends Total Alerts Triggered along a Year → Month date hierarchy, showing how alert volume has evolved from 2020 to 2023.</w:t>
      </w:r>
    </w:p>
    <w:p w:rsidR="00BE1E47" w:rsidRDefault="00EA3F05">
      <w:pPr>
        <w:pStyle w:val="NormalWeb"/>
      </w:pPr>
      <w:r>
        <w:t>2020: 5,304 alerts  ·  2021: 5,286  ·  2022: 5,277  ·  2023: 4,066</w:t>
      </w:r>
    </w:p>
    <w:p w:rsidR="00BE1E47" w:rsidRDefault="00EA3F05">
      <w:pPr>
        <w:pStyle w:val="NormalWeb"/>
      </w:pPr>
      <w:r>
        <w:t>Alert volume is essentially flat at roughly 5,300 per year across 2020-2022 before dropping to about 4,066 in 2023. As with the attack-volume trend seen in earlier dashboards, the 2023 decline reflects partial-year data rather than a genuine fall in threat activity, and the drill-down to month lets an analyst pinpoint exactly where coverage tapers off.</w:t>
      </w:r>
    </w:p>
    <w:p w:rsidR="00BE1E47" w:rsidRDefault="00EA3F05">
      <w:pPr>
        <w:pStyle w:val="NormalWeb"/>
        <w:pBdr>
          <w:top w:val="single" w:sz="6" w:space="10" w:color="BFBFBF"/>
          <w:left w:val="single" w:sz="6" w:space="10" w:color="BFBFBF"/>
          <w:bottom w:val="single" w:sz="6" w:space="10" w:color="BFBFBF"/>
          <w:right w:val="single" w:sz="6" w:space="10" w:color="BFBFBF"/>
        </w:pBdr>
        <w:shd w:val="clear" w:color="auto" w:fill="F2F2F2"/>
        <w:spacing w:before="160" w:after="160"/>
        <w:jc w:val="center"/>
      </w:pPr>
      <w:r>
        <w:rPr>
          <w:noProof/>
        </w:rPr>
        <w:drawing>
          <wp:inline distT="0" distB="0" distL="0" distR="0" wp14:anchorId="04A75ED9" wp14:editId="620C9DCC">
            <wp:extent cx="2543175" cy="1924050"/>
            <wp:effectExtent l="0" t="0" r="9525"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4463" t="32579" r="72758" b="38127"/>
                    <a:stretch/>
                  </pic:blipFill>
                  <pic:spPr bwMode="auto">
                    <a:xfrm>
                      <a:off x="0" y="0"/>
                      <a:ext cx="2543175" cy="1924050"/>
                    </a:xfrm>
                    <a:prstGeom prst="rect">
                      <a:avLst/>
                    </a:prstGeom>
                    <a:ln>
                      <a:noFill/>
                    </a:ln>
                    <a:extLst>
                      <a:ext uri="{53640926-AAD7-44D8-BBD7-CCE9431645EC}">
                        <a14:shadowObscured xmlns:a14="http://schemas.microsoft.com/office/drawing/2010/main"/>
                      </a:ext>
                    </a:extLst>
                  </pic:spPr>
                </pic:pic>
              </a:graphicData>
            </a:graphic>
          </wp:inline>
        </w:drawing>
      </w:r>
    </w:p>
    <w:p w:rsidR="00BE1E47" w:rsidRDefault="00EA3F05">
      <w:pPr>
        <w:pStyle w:val="Heading3"/>
      </w:pPr>
      <w:r>
        <w:t>Proxy Information Used vs Not Used</w:t>
      </w:r>
    </w:p>
    <w:p w:rsidR="00BE1E47" w:rsidRDefault="00EA3F05">
      <w:pPr>
        <w:pStyle w:val="NormalWeb"/>
      </w:pPr>
      <w:r>
        <w:t>This donut chart, lower-centre, breaks the total Attack count by whether a proxy was involved (Proxy Used vs No Proxy), with each arc further segmented by Alerts/Warnings status.</w:t>
      </w:r>
    </w:p>
    <w:p w:rsidR="00BE1E47" w:rsidRDefault="00EA3F05">
      <w:pPr>
        <w:pStyle w:val="NormalWeb"/>
      </w:pPr>
      <w:r>
        <w:t>Proxy Used: 20,149 incidents (50.4%) - of which 10,000 triggered an alert</w:t>
      </w:r>
    </w:p>
    <w:p w:rsidR="00BE1E47" w:rsidRDefault="00EA3F05">
      <w:pPr>
        <w:pStyle w:val="NormalWeb"/>
      </w:pPr>
      <w:r>
        <w:t>No Proxy: 19,851 incidents (49.6%) - of which 9,933 triggered an alert</w:t>
      </w:r>
    </w:p>
    <w:p w:rsidR="00BE1E47" w:rsidRDefault="00EA3F05">
      <w:pPr>
        <w:pStyle w:val="NormalWeb"/>
      </w:pPr>
      <w:r>
        <w:t>Proxy usage is split almost evenly across the dataset, and the alert rate is virtually identical whether or not a proxy was used (~49-50% in both arcs). This tells the SOC that attackers’ use of proxies is not materially changing whether an event gets alerted on - proxy presence is a useful forensic attribute but not, by itself, a reliable trigger for escalation.</w:t>
      </w:r>
    </w:p>
    <w:p w:rsidR="00BE1E47" w:rsidRDefault="00EA3F05">
      <w:pPr>
        <w:pStyle w:val="NormalWeb"/>
        <w:pBdr>
          <w:top w:val="single" w:sz="6" w:space="10" w:color="BFBFBF"/>
          <w:left w:val="single" w:sz="6" w:space="10" w:color="BFBFBF"/>
          <w:bottom w:val="single" w:sz="6" w:space="10" w:color="BFBFBF"/>
          <w:right w:val="single" w:sz="6" w:space="10" w:color="BFBFBF"/>
        </w:pBdr>
        <w:shd w:val="clear" w:color="auto" w:fill="F2F2F2"/>
        <w:spacing w:before="160" w:after="160"/>
        <w:jc w:val="center"/>
      </w:pPr>
      <w:r>
        <w:rPr>
          <w:noProof/>
        </w:rPr>
        <w:lastRenderedPageBreak/>
        <w:drawing>
          <wp:inline distT="0" distB="0" distL="0" distR="0" wp14:anchorId="23BA6FD0" wp14:editId="68979AF5">
            <wp:extent cx="3286125" cy="2162175"/>
            <wp:effectExtent l="0" t="0" r="9525" b="952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48943" t="32305" r="30433" b="38127"/>
                    <a:stretch/>
                  </pic:blipFill>
                  <pic:spPr bwMode="auto">
                    <a:xfrm>
                      <a:off x="0" y="0"/>
                      <a:ext cx="3286125" cy="2162175"/>
                    </a:xfrm>
                    <a:prstGeom prst="rect">
                      <a:avLst/>
                    </a:prstGeom>
                    <a:ln>
                      <a:noFill/>
                    </a:ln>
                    <a:extLst>
                      <a:ext uri="{53640926-AAD7-44D8-BBD7-CCE9431645EC}">
                        <a14:shadowObscured xmlns:a14="http://schemas.microsoft.com/office/drawing/2010/main"/>
                      </a:ext>
                    </a:extLst>
                  </pic:spPr>
                </pic:pic>
              </a:graphicData>
            </a:graphic>
          </wp:inline>
        </w:drawing>
      </w:r>
    </w:p>
    <w:p w:rsidR="00EA3F05" w:rsidRDefault="00EA3F05">
      <w:pPr>
        <w:pStyle w:val="Heading3"/>
      </w:pPr>
    </w:p>
    <w:p w:rsidR="00EA3F05" w:rsidRDefault="00EA3F05">
      <w:pPr>
        <w:pStyle w:val="Heading3"/>
      </w:pPr>
    </w:p>
    <w:p w:rsidR="00BE1E47" w:rsidRDefault="00EA3F05">
      <w:pPr>
        <w:pStyle w:val="Heading3"/>
      </w:pPr>
      <w:r>
        <w:t>Firewall Log Presence by Severity Level</w:t>
      </w:r>
    </w:p>
    <w:p w:rsidR="00BE1E47" w:rsidRDefault="00EA3F05">
      <w:pPr>
        <w:pStyle w:val="NormalWeb"/>
      </w:pPr>
      <w:r>
        <w:t>The clustered bar chart at the lower-right measures Firewall Log Coverage (the count of incidents where Firewall Logs = “Log Data”) down each Severity Level (High, Medium, Low), split by whether a firewall log was present.</w:t>
      </w:r>
    </w:p>
    <w:p w:rsidR="00BE1E47" w:rsidRDefault="00EA3F05">
      <w:pPr>
        <w:pStyle w:val="NormalWeb"/>
      </w:pPr>
      <w:r>
        <w:t>High severity - Log Data: 6,696 · No log: 6,686</w:t>
      </w:r>
    </w:p>
    <w:p w:rsidR="00BE1E47" w:rsidRDefault="00EA3F05">
      <w:pPr>
        <w:pStyle w:val="NormalWeb"/>
      </w:pPr>
      <w:r>
        <w:t>Medium severity - Log Data: 6,757 · No log: 6,678</w:t>
      </w:r>
    </w:p>
    <w:p w:rsidR="00BE1E47" w:rsidRDefault="00EA3F05">
      <w:pPr>
        <w:pStyle w:val="NormalWeb"/>
      </w:pPr>
      <w:r>
        <w:t>Low severity - Log Data: 6,586 · No log: 6,597</w:t>
      </w:r>
    </w:p>
    <w:p w:rsidR="00BE1E47" w:rsidRDefault="00EA3F05">
      <w:pPr>
        <w:pStyle w:val="NormalWeb"/>
      </w:pPr>
      <w:r>
        <w:t>Total firewall-log coverage: 20,039 of 40,000 incidents (~50%).</w:t>
      </w:r>
    </w:p>
    <w:p w:rsidR="00BE1E47" w:rsidRDefault="00EA3F05">
      <w:pPr>
        <w:pStyle w:val="NormalWeb"/>
      </w:pPr>
      <w:r>
        <w:t>Firewall logging covers almost exactly half of incidents at every severity level - critically, High-severity events are logged no more often (6,696 of 13,382) than Low-severity ones. The absence of severity-weighted logging is a genuine operational gap: the most dangerous incidents are just as likely to be missing firewall evidence as the least dangerous, with direct implications for forensic readiness.</w:t>
      </w:r>
    </w:p>
    <w:p w:rsidR="00BE1E47" w:rsidRDefault="00EA3F05">
      <w:pPr>
        <w:pStyle w:val="NormalWeb"/>
        <w:pBdr>
          <w:top w:val="single" w:sz="6" w:space="10" w:color="BFBFBF"/>
          <w:left w:val="single" w:sz="6" w:space="10" w:color="BFBFBF"/>
          <w:bottom w:val="single" w:sz="6" w:space="10" w:color="BFBFBF"/>
          <w:right w:val="single" w:sz="6" w:space="10" w:color="BFBFBF"/>
        </w:pBdr>
        <w:shd w:val="clear" w:color="auto" w:fill="F2F2F2"/>
        <w:spacing w:before="160" w:after="160"/>
        <w:jc w:val="center"/>
      </w:pPr>
      <w:r>
        <w:rPr>
          <w:noProof/>
        </w:rPr>
        <w:lastRenderedPageBreak/>
        <w:drawing>
          <wp:inline distT="0" distB="0" distL="0" distR="0" wp14:anchorId="3FFD11EE" wp14:editId="5A6E961F">
            <wp:extent cx="4010025" cy="1314210"/>
            <wp:effectExtent l="0" t="0" r="0" b="63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4309" t="61051" r="52904" b="14309"/>
                    <a:stretch/>
                  </pic:blipFill>
                  <pic:spPr bwMode="auto">
                    <a:xfrm>
                      <a:off x="0" y="0"/>
                      <a:ext cx="4013083" cy="1315212"/>
                    </a:xfrm>
                    <a:prstGeom prst="rect">
                      <a:avLst/>
                    </a:prstGeom>
                    <a:ln>
                      <a:noFill/>
                    </a:ln>
                    <a:extLst>
                      <a:ext uri="{53640926-AAD7-44D8-BBD7-CCE9431645EC}">
                        <a14:shadowObscured xmlns:a14="http://schemas.microsoft.com/office/drawing/2010/main"/>
                      </a:ext>
                    </a:extLst>
                  </pic:spPr>
                </pic:pic>
              </a:graphicData>
            </a:graphic>
          </wp:inline>
        </w:drawing>
      </w:r>
      <w:r>
        <w:rPr>
          <w:i/>
          <w:iCs/>
          <w:color w:val="808080"/>
        </w:rPr>
        <w:t xml:space="preserve"> </w:t>
      </w:r>
      <w:r>
        <w:rPr>
          <w:i/>
          <w:iCs/>
          <w:color w:val="808080"/>
        </w:rPr>
        <w:br/>
      </w:r>
      <w:r>
        <w:rPr>
          <w:i/>
          <w:iCs/>
          <w:color w:val="808080"/>
        </w:rPr>
        <w:br/>
      </w:r>
      <w:r>
        <w:rPr>
          <w:noProof/>
        </w:rPr>
        <w:drawing>
          <wp:inline distT="0" distB="0" distL="0" distR="0" wp14:anchorId="6025D0A1" wp14:editId="2718E5EF">
            <wp:extent cx="4048125" cy="2276475"/>
            <wp:effectExtent l="0" t="0" r="9525" b="952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4310" t="20259" r="30278" b="14309"/>
                    <a:stretch/>
                  </pic:blipFill>
                  <pic:spPr bwMode="auto">
                    <a:xfrm>
                      <a:off x="0" y="0"/>
                      <a:ext cx="4048125" cy="2276475"/>
                    </a:xfrm>
                    <a:prstGeom prst="rect">
                      <a:avLst/>
                    </a:prstGeom>
                    <a:ln>
                      <a:noFill/>
                    </a:ln>
                    <a:extLst>
                      <a:ext uri="{53640926-AAD7-44D8-BBD7-CCE9431645EC}">
                        <a14:shadowObscured xmlns:a14="http://schemas.microsoft.com/office/drawing/2010/main"/>
                      </a:ext>
                    </a:extLst>
                  </pic:spPr>
                </pic:pic>
              </a:graphicData>
            </a:graphic>
          </wp:inline>
        </w:drawing>
      </w:r>
    </w:p>
    <w:p w:rsidR="00BE1E47" w:rsidRDefault="00EA3F05">
      <w:pPr>
        <w:spacing w:after="130" w:line="276" w:lineRule="auto"/>
        <w:jc w:val="both"/>
        <w:rPr>
          <w:rFonts w:ascii="Times New Roman" w:hAnsi="Times New Roman" w:cs="Times New Roman"/>
        </w:rPr>
      </w:pPr>
      <w:r>
        <w:rPr>
          <w:rFonts w:ascii="Times New Roman" w:hAnsi="Times New Roman" w:cs="Times New Roman"/>
        </w:rPr>
        <w:t>Dashboard 6 shifts the analysis from what the attacks are to how well the monitoring and alerting stack is performing. Four headline KPIs - % Alert Rate (49.83%), % IDS/IPS Rate (49.88%), % Malware Detected (50.00%) and a Blocked Rate % gauge (33.82%) - frame a consistent story: detection signals fire on roughly half of all traffic, yet only a third of incidents are actively blocked. The surrounding visuals decompose that headline by dimension - alert status across attack types, alert volume over time, proxy involvement, and firewall-log coverage by severity - and together they expose where monitoring is strong (broad, even alert coverage) and where it is weak (blocking and severity-weighted firewall logging), giving the security operations centre a clear, evidence-based view of alert-handling effectiveness.</w:t>
      </w:r>
    </w:p>
    <w:p w:rsidR="00BE1E47" w:rsidRDefault="00EA3F05">
      <w:pPr>
        <w:pStyle w:val="Heading2"/>
        <w:spacing w:before="200" w:after="80"/>
        <w:rPr>
          <w:rFonts w:ascii="Times New Roman" w:hAnsi="Times New Roman" w:cs="Times New Roman"/>
        </w:rPr>
      </w:pPr>
      <w:r>
        <w:rPr>
          <w:rFonts w:ascii="Segoe UI Symbol" w:hAnsi="Segoe UI Symbol" w:cs="Segoe UI Symbol"/>
          <w:color w:val="0F7FC4"/>
          <w:sz w:val="24"/>
          <w:szCs w:val="24"/>
        </w:rPr>
        <w:t>▍</w:t>
      </w:r>
      <w:r>
        <w:rPr>
          <w:rFonts w:ascii="Times New Roman" w:hAnsi="Times New Roman" w:cs="Times New Roman"/>
        </w:rPr>
        <w:t xml:space="preserve"> Dashboard 7 - Attack Trends &amp; Response Effectiveness</w:t>
      </w:r>
    </w:p>
    <w:p w:rsidR="00BE1E47" w:rsidRDefault="00EA3F05">
      <w:pPr>
        <w:pStyle w:val="Heading3"/>
      </w:pPr>
      <w:r>
        <w:t>Total Alert</w:t>
      </w:r>
    </w:p>
    <w:p w:rsidR="00BE1E47" w:rsidRDefault="00EA3F05">
      <w:pPr>
        <w:pStyle w:val="NormalWeb"/>
      </w:pPr>
      <w:r>
        <w:t>This KPI card in the top-right reports Total Alerts Triggered - the raw count of incidents whose Alerts/Warnings field equals “Alert Triggered” (CALCULATE([Attack], Alerts/Warnings = “Alert Triggered”)).</w:t>
      </w:r>
    </w:p>
    <w:p w:rsidR="00BE1E47" w:rsidRDefault="00EA3F05">
      <w:pPr>
        <w:pStyle w:val="NormalWeb"/>
      </w:pPr>
      <w:r>
        <w:t>Value displayed: 19,933 alerts.</w:t>
      </w:r>
    </w:p>
    <w:p w:rsidR="00BE1E47" w:rsidRDefault="00EA3F05">
      <w:pPr>
        <w:pStyle w:val="NormalWeb"/>
      </w:pPr>
      <w:r>
        <w:t>Just under 20,000 of the 40,000 incidents raised an alert, providing the absolute baseline that the rest of this page evaluates responses against. It anchors the effectiveness story: with roughly 20k alerts in play, the central question the dashboard answers is how consistently those alerts convert into a “Blocked” outcome.</w:t>
      </w:r>
    </w:p>
    <w:p w:rsidR="00BE1E47" w:rsidRDefault="00EA3F05">
      <w:pPr>
        <w:pStyle w:val="NormalWeb"/>
        <w:pBdr>
          <w:top w:val="single" w:sz="6" w:space="10" w:color="BFBFBF"/>
          <w:left w:val="single" w:sz="6" w:space="10" w:color="BFBFBF"/>
          <w:bottom w:val="single" w:sz="6" w:space="10" w:color="BFBFBF"/>
          <w:right w:val="single" w:sz="6" w:space="10" w:color="BFBFBF"/>
        </w:pBdr>
        <w:shd w:val="clear" w:color="auto" w:fill="F2F2F2"/>
        <w:spacing w:before="160" w:after="160"/>
        <w:jc w:val="center"/>
      </w:pPr>
      <w:r>
        <w:rPr>
          <w:noProof/>
        </w:rPr>
        <w:lastRenderedPageBreak/>
        <w:drawing>
          <wp:inline distT="0" distB="0" distL="0" distR="0" wp14:anchorId="5898C031" wp14:editId="07152B12">
            <wp:extent cx="2276475" cy="1181100"/>
            <wp:effectExtent l="0" t="0" r="9525"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47866" t="20807" r="30279" b="65504"/>
                    <a:stretch/>
                  </pic:blipFill>
                  <pic:spPr bwMode="auto">
                    <a:xfrm>
                      <a:off x="0" y="0"/>
                      <a:ext cx="2276475" cy="1181100"/>
                    </a:xfrm>
                    <a:prstGeom prst="rect">
                      <a:avLst/>
                    </a:prstGeom>
                    <a:ln>
                      <a:noFill/>
                    </a:ln>
                    <a:extLst>
                      <a:ext uri="{53640926-AAD7-44D8-BBD7-CCE9431645EC}">
                        <a14:shadowObscured xmlns:a14="http://schemas.microsoft.com/office/drawing/2010/main"/>
                      </a:ext>
                    </a:extLst>
                  </pic:spPr>
                </pic:pic>
              </a:graphicData>
            </a:graphic>
          </wp:inline>
        </w:drawing>
      </w:r>
    </w:p>
    <w:p w:rsidR="00BE1E47" w:rsidRDefault="00EA3F05">
      <w:pPr>
        <w:pStyle w:val="Heading3"/>
      </w:pPr>
      <w:r>
        <w:t>Attacks vs Blocked Over Time</w:t>
      </w:r>
    </w:p>
    <w:p w:rsidR="00BE1E47" w:rsidRDefault="00EA3F05">
      <w:pPr>
        <w:pStyle w:val="NormalWeb"/>
      </w:pPr>
      <w:r>
        <w:t>Occupying the top-left, this dual-measure line chart trends two series on a Year → Month hierarchy: total Attack volume and the Blocked Rate, letting the reader see whether response effectiveness holds up as attack volume changes.</w:t>
      </w:r>
    </w:p>
    <w:p w:rsidR="00BE1E47" w:rsidRDefault="00EA3F05">
      <w:pPr>
        <w:pStyle w:val="NormalWeb"/>
      </w:pPr>
      <w:r>
        <w:t>2020: 10,573 attacks · 33.86% blocked</w:t>
      </w:r>
    </w:p>
    <w:p w:rsidR="00BE1E47" w:rsidRDefault="00EA3F05">
      <w:pPr>
        <w:pStyle w:val="NormalWeb"/>
      </w:pPr>
      <w:r>
        <w:t>2021: 10,538 attacks · 33.32% blocked</w:t>
      </w:r>
    </w:p>
    <w:p w:rsidR="00BE1E47" w:rsidRDefault="00EA3F05">
      <w:pPr>
        <w:pStyle w:val="NormalWeb"/>
      </w:pPr>
      <w:r>
        <w:t>2022: 10,750 attacks · 34.16% blocked (peak year)</w:t>
      </w:r>
    </w:p>
    <w:p w:rsidR="00BE1E47" w:rsidRDefault="00EA3F05">
      <w:pPr>
        <w:pStyle w:val="NormalWeb"/>
      </w:pPr>
      <w:r>
        <w:t>2023: 8,139 attacks · 33.98% blocked (partial year)</w:t>
      </w:r>
    </w:p>
    <w:p w:rsidR="00BE1E47" w:rsidRDefault="00EA3F05">
      <w:pPr>
        <w:pStyle w:val="NormalWeb"/>
      </w:pPr>
      <w:r>
        <w:t>Attack volume is stable at ~10,500-10,750 per year through 2022 before the partial-2023 dip, while the block rate stays in a remarkably narrow 33.3-34.2% band throughout. That flat block-rate line is the key finding: response effectiveness has neither improved nor degraded over four years and appears independent of how many attacks arrive.</w:t>
      </w:r>
    </w:p>
    <w:p w:rsidR="00BE1E47" w:rsidRDefault="00EA3F05">
      <w:pPr>
        <w:pStyle w:val="NormalWeb"/>
        <w:pBdr>
          <w:top w:val="single" w:sz="6" w:space="10" w:color="BFBFBF"/>
          <w:left w:val="single" w:sz="6" w:space="10" w:color="BFBFBF"/>
          <w:bottom w:val="single" w:sz="6" w:space="10" w:color="BFBFBF"/>
          <w:right w:val="single" w:sz="6" w:space="10" w:color="BFBFBF"/>
        </w:pBdr>
        <w:shd w:val="clear" w:color="auto" w:fill="F2F2F2"/>
        <w:spacing w:before="160" w:after="160"/>
        <w:jc w:val="center"/>
      </w:pPr>
      <w:r>
        <w:rPr>
          <w:noProof/>
        </w:rPr>
        <w:drawing>
          <wp:inline distT="0" distB="0" distL="0" distR="0" wp14:anchorId="51E17CD3" wp14:editId="2CFA4562">
            <wp:extent cx="2590800" cy="15240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4463" t="28746" r="73220" b="42234"/>
                    <a:stretch/>
                  </pic:blipFill>
                  <pic:spPr bwMode="auto">
                    <a:xfrm>
                      <a:off x="0" y="0"/>
                      <a:ext cx="2590800" cy="1524000"/>
                    </a:xfrm>
                    <a:prstGeom prst="rect">
                      <a:avLst/>
                    </a:prstGeom>
                    <a:ln>
                      <a:noFill/>
                    </a:ln>
                    <a:extLst>
                      <a:ext uri="{53640926-AAD7-44D8-BBD7-CCE9431645EC}">
                        <a14:shadowObscured xmlns:a14="http://schemas.microsoft.com/office/drawing/2010/main"/>
                      </a:ext>
                    </a:extLst>
                  </pic:spPr>
                </pic:pic>
              </a:graphicData>
            </a:graphic>
          </wp:inline>
        </w:drawing>
      </w:r>
    </w:p>
    <w:p w:rsidR="00BE1E47" w:rsidRDefault="00EA3F05">
      <w:pPr>
        <w:pStyle w:val="Heading3"/>
      </w:pPr>
      <w:r>
        <w:t>What Drives a “Blocked” Outcome</w:t>
      </w:r>
    </w:p>
    <w:p w:rsidR="00BE1E47" w:rsidRDefault="00EA3F05">
      <w:pPr>
        <w:pStyle w:val="NormalWeb"/>
      </w:pPr>
      <w:r>
        <w:t>This Key Influencers visual, top-centre, uses Power BI’s built-in analytics to rank which factors most increase the likelihood that Action Taken = “Blocked”. The target is Action Taken and the model explains it using Attack Type, Severity Level, Protocol and Proxy Used.</w:t>
      </w:r>
    </w:p>
    <w:p w:rsidR="00BE1E47" w:rsidRDefault="00EA3F05">
      <w:pPr>
        <w:pStyle w:val="NormalWeb"/>
      </w:pPr>
      <w:r>
        <w:t>Because the underlying categories are near-uniformly distributed (each attack type ≈33%, each severity ≈33%, block rate ≈33-34% everywhere), the visual surfaces only marginal influencers rather than a dominant driver.</w:t>
      </w:r>
    </w:p>
    <w:p w:rsidR="00BE1E47" w:rsidRDefault="00EA3F05">
      <w:pPr>
        <w:pStyle w:val="NormalWeb"/>
      </w:pPr>
      <w:r>
        <w:t xml:space="preserve">The absence of a strong driver is itself the insight: no single attack type, severity, protocol or proxy state meaningfully changes the odds of an incident being blocked. This confirms that blocking in this </w:t>
      </w:r>
      <w:r>
        <w:lastRenderedPageBreak/>
        <w:t>dataset is effectively uniform and not risk-weighted - a finding that would prompt a real SOC to introduce severity-aware blocking rules.</w:t>
      </w:r>
    </w:p>
    <w:p w:rsidR="00BE1E47" w:rsidRDefault="0044160B">
      <w:pPr>
        <w:pStyle w:val="NormalWeb"/>
        <w:pBdr>
          <w:top w:val="single" w:sz="6" w:space="10" w:color="BFBFBF"/>
          <w:left w:val="single" w:sz="6" w:space="10" w:color="BFBFBF"/>
          <w:bottom w:val="single" w:sz="6" w:space="10" w:color="BFBFBF"/>
          <w:right w:val="single" w:sz="6" w:space="10" w:color="BFBFBF"/>
        </w:pBdr>
        <w:shd w:val="clear" w:color="auto" w:fill="F2F2F2"/>
        <w:spacing w:before="160" w:after="160"/>
        <w:jc w:val="center"/>
      </w:pPr>
      <w:r>
        <w:rPr>
          <w:noProof/>
        </w:rPr>
        <w:drawing>
          <wp:inline distT="0" distB="0" distL="0" distR="0" wp14:anchorId="3387041D" wp14:editId="6AEFF00B">
            <wp:extent cx="2324100" cy="17907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26011" t="27925" r="52134" b="42508"/>
                    <a:stretch/>
                  </pic:blipFill>
                  <pic:spPr bwMode="auto">
                    <a:xfrm>
                      <a:off x="0" y="0"/>
                      <a:ext cx="2324100" cy="1790700"/>
                    </a:xfrm>
                    <a:prstGeom prst="rect">
                      <a:avLst/>
                    </a:prstGeom>
                    <a:ln>
                      <a:noFill/>
                    </a:ln>
                    <a:extLst>
                      <a:ext uri="{53640926-AAD7-44D8-BBD7-CCE9431645EC}">
                        <a14:shadowObscured xmlns:a14="http://schemas.microsoft.com/office/drawing/2010/main"/>
                      </a:ext>
                    </a:extLst>
                  </pic:spPr>
                </pic:pic>
              </a:graphicData>
            </a:graphic>
          </wp:inline>
        </w:drawing>
      </w:r>
    </w:p>
    <w:p w:rsidR="00BE1E47" w:rsidRDefault="00EA3F05">
      <w:pPr>
        <w:pStyle w:val="Heading3"/>
      </w:pPr>
      <w:r>
        <w:t>Response Summary by Attack Type</w:t>
      </w:r>
    </w:p>
    <w:p w:rsidR="00BE1E47" w:rsidRDefault="00EA3F05">
      <w:pPr>
        <w:pStyle w:val="NormalWeb"/>
      </w:pPr>
      <w:r>
        <w:t>This table on the right-hand side summarises response performance per Attack Type, with columns for Attack (volume), Block Rate % and an Attack Dense Rank (RANKX over attack types by volume, dense/descending).</w:t>
      </w:r>
    </w:p>
    <w:p w:rsidR="00BE1E47" w:rsidRDefault="00EA3F05">
      <w:pPr>
        <w:pStyle w:val="NormalWeb"/>
      </w:pPr>
      <w:r>
        <w:t>DDoS - 13,428 attacks · 33.76% blocked · rank 1</w:t>
      </w:r>
    </w:p>
    <w:p w:rsidR="00BE1E47" w:rsidRDefault="00EA3F05">
      <w:pPr>
        <w:pStyle w:val="NormalWeb"/>
      </w:pPr>
      <w:r>
        <w:t>Malware - 13,307 attacks · 33.39% blocked · rank 2</w:t>
      </w:r>
    </w:p>
    <w:p w:rsidR="00BE1E47" w:rsidRDefault="00EA3F05">
      <w:pPr>
        <w:pStyle w:val="NormalWeb"/>
      </w:pPr>
      <w:r>
        <w:t>Intrusion - 13,265 attacks · 34.32% blocked · rank 3</w:t>
      </w:r>
    </w:p>
    <w:p w:rsidR="00BE1E47" w:rsidRDefault="00EA3F05">
      <w:pPr>
        <w:pStyle w:val="NormalWeb"/>
      </w:pPr>
      <w:r>
        <w:t>DDoS is the most frequent attack type (rank 1) yet has almost the lowest block rate (33.76%), while Intrusion - the least frequent - is blocked most often (34.32%). The spread is well under one percentage point, reinforcing that response is even-handed across threat classes rather than concentrated on the highest-volume one.</w:t>
      </w:r>
    </w:p>
    <w:p w:rsidR="00BE1E47" w:rsidRDefault="0044160B">
      <w:pPr>
        <w:pStyle w:val="NormalWeb"/>
        <w:pBdr>
          <w:top w:val="single" w:sz="6" w:space="10" w:color="BFBFBF"/>
          <w:left w:val="single" w:sz="6" w:space="10" w:color="BFBFBF"/>
          <w:bottom w:val="single" w:sz="6" w:space="10" w:color="BFBFBF"/>
          <w:right w:val="single" w:sz="6" w:space="10" w:color="BFBFBF"/>
        </w:pBdr>
        <w:shd w:val="clear" w:color="auto" w:fill="F2F2F2"/>
        <w:spacing w:before="160" w:after="160"/>
        <w:jc w:val="center"/>
      </w:pPr>
      <w:r>
        <w:rPr>
          <w:noProof/>
        </w:rPr>
        <w:drawing>
          <wp:inline distT="0" distB="0" distL="0" distR="0" wp14:anchorId="03AD95C8" wp14:editId="26D8E590">
            <wp:extent cx="2657475" cy="1724025"/>
            <wp:effectExtent l="0" t="0" r="9525" b="952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47866" t="34495" r="30433" b="41687"/>
                    <a:stretch/>
                  </pic:blipFill>
                  <pic:spPr bwMode="auto">
                    <a:xfrm>
                      <a:off x="0" y="0"/>
                      <a:ext cx="2657475" cy="1724025"/>
                    </a:xfrm>
                    <a:prstGeom prst="rect">
                      <a:avLst/>
                    </a:prstGeom>
                    <a:ln>
                      <a:noFill/>
                    </a:ln>
                    <a:extLst>
                      <a:ext uri="{53640926-AAD7-44D8-BBD7-CCE9431645EC}">
                        <a14:shadowObscured xmlns:a14="http://schemas.microsoft.com/office/drawing/2010/main"/>
                      </a:ext>
                    </a:extLst>
                  </pic:spPr>
                </pic:pic>
              </a:graphicData>
            </a:graphic>
          </wp:inline>
        </w:drawing>
      </w:r>
    </w:p>
    <w:p w:rsidR="0044160B" w:rsidRDefault="0044160B">
      <w:pPr>
        <w:pStyle w:val="Heading3"/>
      </w:pPr>
    </w:p>
    <w:p w:rsidR="0044160B" w:rsidRDefault="0044160B">
      <w:pPr>
        <w:pStyle w:val="Heading3"/>
      </w:pPr>
    </w:p>
    <w:p w:rsidR="0044160B" w:rsidRDefault="0044160B">
      <w:pPr>
        <w:pStyle w:val="Heading3"/>
      </w:pPr>
    </w:p>
    <w:p w:rsidR="0044160B" w:rsidRDefault="0044160B">
      <w:pPr>
        <w:pStyle w:val="Heading3"/>
      </w:pPr>
    </w:p>
    <w:p w:rsidR="0044160B" w:rsidRDefault="0044160B">
      <w:pPr>
        <w:pStyle w:val="Heading3"/>
      </w:pPr>
    </w:p>
    <w:p w:rsidR="0044160B" w:rsidRDefault="0044160B">
      <w:pPr>
        <w:pStyle w:val="Heading3"/>
      </w:pPr>
    </w:p>
    <w:p w:rsidR="00BE1E47" w:rsidRDefault="00EA3F05">
      <w:pPr>
        <w:pStyle w:val="Heading3"/>
      </w:pPr>
      <w:r>
        <w:lastRenderedPageBreak/>
        <w:t>Block Rate % by Attack Type</w:t>
      </w:r>
    </w:p>
    <w:p w:rsidR="00BE1E47" w:rsidRDefault="00EA3F05">
      <w:pPr>
        <w:pStyle w:val="NormalWeb"/>
      </w:pPr>
      <w:r>
        <w:t>This waterfall chart, bottom-left, decomposes Block Rate % across the three Attack Types, showing each type’s contribution as a step and its cumulative position.</w:t>
      </w:r>
    </w:p>
    <w:p w:rsidR="00BE1E47" w:rsidRDefault="00EA3F05">
      <w:pPr>
        <w:pStyle w:val="NormalWeb"/>
      </w:pPr>
      <w:r>
        <w:t>DDoS: 33.76%  ·  Malware: 33.39%  ·  Intrusion: 34.32%</w:t>
      </w:r>
    </w:p>
    <w:p w:rsidR="00BE1E47" w:rsidRDefault="00EA3F05">
      <w:pPr>
        <w:pStyle w:val="NormalWeb"/>
      </w:pPr>
      <w:r>
        <w:t>The waterfall makes the near-equality visually explicit - the steps are almost the same height, so no attack type stands out as being blocked substantially more or less than the others. It is the graphical companion to the response table and drives home that block-rate parity, not variation, is the defining characteristic of the response profile.</w:t>
      </w:r>
    </w:p>
    <w:p w:rsidR="00BE1E47" w:rsidRDefault="0044160B">
      <w:pPr>
        <w:pStyle w:val="NormalWeb"/>
        <w:pBdr>
          <w:top w:val="single" w:sz="6" w:space="10" w:color="BFBFBF"/>
          <w:left w:val="single" w:sz="6" w:space="10" w:color="BFBFBF"/>
          <w:bottom w:val="single" w:sz="6" w:space="10" w:color="BFBFBF"/>
          <w:right w:val="single" w:sz="6" w:space="10" w:color="BFBFBF"/>
        </w:pBdr>
        <w:shd w:val="clear" w:color="auto" w:fill="F2F2F2"/>
        <w:spacing w:before="160" w:after="160"/>
        <w:jc w:val="center"/>
      </w:pPr>
      <w:r>
        <w:rPr>
          <w:noProof/>
        </w:rPr>
        <w:drawing>
          <wp:inline distT="0" distB="0" distL="0" distR="0" wp14:anchorId="311DD41E" wp14:editId="21534D36">
            <wp:extent cx="3019425" cy="1295400"/>
            <wp:effectExtent l="0" t="0" r="9525"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4310" t="56945" r="73219" b="14583"/>
                    <a:stretch/>
                  </pic:blipFill>
                  <pic:spPr bwMode="auto">
                    <a:xfrm>
                      <a:off x="0" y="0"/>
                      <a:ext cx="3019425" cy="1295400"/>
                    </a:xfrm>
                    <a:prstGeom prst="rect">
                      <a:avLst/>
                    </a:prstGeom>
                    <a:ln>
                      <a:noFill/>
                    </a:ln>
                    <a:extLst>
                      <a:ext uri="{53640926-AAD7-44D8-BBD7-CCE9431645EC}">
                        <a14:shadowObscured xmlns:a14="http://schemas.microsoft.com/office/drawing/2010/main"/>
                      </a:ext>
                    </a:extLst>
                  </pic:spPr>
                </pic:pic>
              </a:graphicData>
            </a:graphic>
          </wp:inline>
        </w:drawing>
      </w:r>
    </w:p>
    <w:p w:rsidR="00BE1E47" w:rsidRDefault="00EA3F05">
      <w:pPr>
        <w:pStyle w:val="Heading3"/>
      </w:pPr>
      <w:r>
        <w:t>Attack Type → Action Taken Flow</w:t>
      </w:r>
    </w:p>
    <w:p w:rsidR="00BE1E47" w:rsidRDefault="00EA3F05">
      <w:pPr>
        <w:pStyle w:val="NormalWeb"/>
      </w:pPr>
      <w:r>
        <w:t>This Sankey diagram, bottom-centre, visualises the flow from each Attack Type (source) to each Action Taken (destination), with ribbon width weighted by Attack count - a single view of how every threat class is dispositioned into Blocked, Ignored or Logged.</w:t>
      </w:r>
    </w:p>
    <w:p w:rsidR="00BE1E47" w:rsidRDefault="00EA3F05">
      <w:pPr>
        <w:pStyle w:val="NormalWeb"/>
      </w:pPr>
      <w:r>
        <w:t>DDoS → Blocked 4,533 · Ignored 4,459 · Logged 4,436</w:t>
      </w:r>
    </w:p>
    <w:p w:rsidR="00BE1E47" w:rsidRDefault="00EA3F05">
      <w:pPr>
        <w:pStyle w:val="NormalWeb"/>
      </w:pPr>
      <w:r>
        <w:t>Intrusion → Blocked 4,553 · Ignored 4,401 · Logged 4,311</w:t>
      </w:r>
    </w:p>
    <w:p w:rsidR="00BE1E47" w:rsidRDefault="00EA3F05">
      <w:pPr>
        <w:pStyle w:val="NormalWeb"/>
      </w:pPr>
      <w:r>
        <w:t>Malware → Blocked 4,443 · Ignored 4,416 · Logged 4,448</w:t>
      </w:r>
    </w:p>
    <w:p w:rsidR="00BE1E47" w:rsidRDefault="00EA3F05">
      <w:pPr>
        <w:pStyle w:val="NormalWeb"/>
      </w:pPr>
      <w:r>
        <w:t>Column totals: Blocked 13,529 · Ignored 13,276 · Logged 13,195</w:t>
      </w:r>
    </w:p>
    <w:p w:rsidR="00BE1E47" w:rsidRDefault="00EA3F05">
      <w:pPr>
        <w:pStyle w:val="NormalWeb"/>
      </w:pPr>
      <w:r>
        <w:t>Every attack type splits into the three actions in almost equal thirds, so the ribbons are of near-identical width. The operationally important flows are the ~13,276 Ignored and ~13,195 Logged incidents: two-thirds of all activity - including roughly 8,900 malware-carrying events - is not being blocked, which is the single clearest efficiency concern the response analysis raises.</w:t>
      </w:r>
    </w:p>
    <w:p w:rsidR="00BE1E47" w:rsidRDefault="0044160B">
      <w:pPr>
        <w:pStyle w:val="NormalWeb"/>
        <w:pBdr>
          <w:top w:val="single" w:sz="6" w:space="10" w:color="BFBFBF"/>
          <w:left w:val="single" w:sz="6" w:space="10" w:color="BFBFBF"/>
          <w:bottom w:val="single" w:sz="6" w:space="10" w:color="BFBFBF"/>
          <w:right w:val="single" w:sz="6" w:space="10" w:color="BFBFBF"/>
        </w:pBdr>
        <w:shd w:val="clear" w:color="auto" w:fill="F2F2F2"/>
        <w:spacing w:before="160" w:after="160"/>
        <w:jc w:val="center"/>
      </w:pPr>
      <w:r>
        <w:rPr>
          <w:noProof/>
        </w:rPr>
        <w:drawing>
          <wp:inline distT="0" distB="0" distL="0" distR="0" wp14:anchorId="070AD838" wp14:editId="79650A8D">
            <wp:extent cx="2981325" cy="1495425"/>
            <wp:effectExtent l="0" t="0" r="9525" b="952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48020" t="55849" r="30741" b="14309"/>
                    <a:stretch/>
                  </pic:blipFill>
                  <pic:spPr bwMode="auto">
                    <a:xfrm>
                      <a:off x="0" y="0"/>
                      <a:ext cx="3196964" cy="1603589"/>
                    </a:xfrm>
                    <a:prstGeom prst="rect">
                      <a:avLst/>
                    </a:prstGeom>
                    <a:ln>
                      <a:noFill/>
                    </a:ln>
                    <a:extLst>
                      <a:ext uri="{53640926-AAD7-44D8-BBD7-CCE9431645EC}">
                        <a14:shadowObscured xmlns:a14="http://schemas.microsoft.com/office/drawing/2010/main"/>
                      </a:ext>
                    </a:extLst>
                  </pic:spPr>
                </pic:pic>
              </a:graphicData>
            </a:graphic>
          </wp:inline>
        </w:drawing>
      </w:r>
    </w:p>
    <w:p w:rsidR="00BE1E47" w:rsidRDefault="00EA3F05">
      <w:pPr>
        <w:pStyle w:val="Heading3"/>
      </w:pPr>
      <w:r>
        <w:lastRenderedPageBreak/>
        <w:t>Alert Rate % Performance vs Benchmark</w:t>
      </w:r>
    </w:p>
    <w:p w:rsidR="00BE1E47" w:rsidRDefault="00EA3F05">
      <w:pPr>
        <w:pStyle w:val="NormalWeb"/>
      </w:pPr>
      <w:r>
        <w:t>The bullet chart in the bottom-right compares each Attack Type’s % Alert Rate against a common benchmark band, giving a compact “actual vs target” read on alerting performance by threat class.</w:t>
      </w:r>
    </w:p>
    <w:p w:rsidR="00BE1E47" w:rsidRDefault="00EA3F05">
      <w:pPr>
        <w:pStyle w:val="NormalWeb"/>
      </w:pPr>
      <w:r>
        <w:t>DDoS: 49.69%  ·  Intrusion: 49.19%  ·  Malware: 50.61%  (overall 49.83%)</w:t>
      </w:r>
    </w:p>
    <w:p w:rsidR="00BE1E47" w:rsidRDefault="00EA3F05">
      <w:pPr>
        <w:pStyle w:val="NormalWeb"/>
      </w:pPr>
      <w:r>
        <w:t>All three attack types cluster tightly around the ~50% alert-rate benchmark, with Malware marginally ahead (50.61%) and Intrusion marginally behind (49.19%). The tight grouping confirms alerting is applied consistently regardless of threat type; the small Malware lead is the only positive signal that the most dangerous class is being surfaced slightly more often than average.</w:t>
      </w:r>
    </w:p>
    <w:p w:rsidR="0044160B" w:rsidRDefault="0044160B">
      <w:pPr>
        <w:pStyle w:val="NormalWeb"/>
        <w:pBdr>
          <w:top w:val="single" w:sz="6" w:space="10" w:color="BFBFBF"/>
          <w:left w:val="single" w:sz="6" w:space="10" w:color="BFBFBF"/>
          <w:bottom w:val="single" w:sz="6" w:space="10" w:color="BFBFBF"/>
          <w:right w:val="single" w:sz="6" w:space="10" w:color="BFBFBF"/>
        </w:pBdr>
        <w:shd w:val="clear" w:color="auto" w:fill="F2F2F2"/>
        <w:spacing w:before="160" w:after="160"/>
        <w:jc w:val="center"/>
        <w:rPr>
          <w:i/>
          <w:iCs/>
          <w:color w:val="808080"/>
        </w:rPr>
      </w:pPr>
      <w:r>
        <w:rPr>
          <w:noProof/>
        </w:rPr>
        <w:drawing>
          <wp:inline distT="0" distB="0" distL="0" distR="0" wp14:anchorId="6CD09B5F" wp14:editId="24A2C9BC">
            <wp:extent cx="3752850" cy="207645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27242" t="57219" r="52134" b="13214"/>
                    <a:stretch/>
                  </pic:blipFill>
                  <pic:spPr bwMode="auto">
                    <a:xfrm>
                      <a:off x="0" y="0"/>
                      <a:ext cx="3752850" cy="2076450"/>
                    </a:xfrm>
                    <a:prstGeom prst="rect">
                      <a:avLst/>
                    </a:prstGeom>
                    <a:ln>
                      <a:noFill/>
                    </a:ln>
                    <a:extLst>
                      <a:ext uri="{53640926-AAD7-44D8-BBD7-CCE9431645EC}">
                        <a14:shadowObscured xmlns:a14="http://schemas.microsoft.com/office/drawing/2010/main"/>
                      </a:ext>
                    </a:extLst>
                  </pic:spPr>
                </pic:pic>
              </a:graphicData>
            </a:graphic>
          </wp:inline>
        </w:drawing>
      </w:r>
      <w:r>
        <w:rPr>
          <w:i/>
          <w:iCs/>
          <w:color w:val="808080"/>
        </w:rPr>
        <w:t xml:space="preserve"> </w:t>
      </w:r>
    </w:p>
    <w:p w:rsidR="00BE1E47" w:rsidRDefault="0044160B">
      <w:pPr>
        <w:pStyle w:val="NormalWeb"/>
        <w:pBdr>
          <w:top w:val="single" w:sz="6" w:space="10" w:color="BFBFBF"/>
          <w:left w:val="single" w:sz="6" w:space="10" w:color="BFBFBF"/>
          <w:bottom w:val="single" w:sz="6" w:space="10" w:color="BFBFBF"/>
          <w:right w:val="single" w:sz="6" w:space="10" w:color="BFBFBF"/>
        </w:pBdr>
        <w:shd w:val="clear" w:color="auto" w:fill="F2F2F2"/>
        <w:spacing w:before="160" w:after="160"/>
        <w:jc w:val="center"/>
      </w:pPr>
      <w:r>
        <w:rPr>
          <w:noProof/>
        </w:rPr>
        <w:drawing>
          <wp:inline distT="0" distB="0" distL="0" distR="0" wp14:anchorId="50181B4A" wp14:editId="7B202846">
            <wp:extent cx="4038600" cy="226695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4156" t="20259" r="30587" b="14583"/>
                    <a:stretch/>
                  </pic:blipFill>
                  <pic:spPr bwMode="auto">
                    <a:xfrm>
                      <a:off x="0" y="0"/>
                      <a:ext cx="4038600" cy="2266950"/>
                    </a:xfrm>
                    <a:prstGeom prst="rect">
                      <a:avLst/>
                    </a:prstGeom>
                    <a:ln>
                      <a:noFill/>
                    </a:ln>
                    <a:extLst>
                      <a:ext uri="{53640926-AAD7-44D8-BBD7-CCE9431645EC}">
                        <a14:shadowObscured xmlns:a14="http://schemas.microsoft.com/office/drawing/2010/main"/>
                      </a:ext>
                    </a:extLst>
                  </pic:spPr>
                </pic:pic>
              </a:graphicData>
            </a:graphic>
          </wp:inline>
        </w:drawing>
      </w:r>
    </w:p>
    <w:p w:rsidR="00BE1E47" w:rsidRDefault="00EA3F05">
      <w:pPr>
        <w:spacing w:after="130" w:line="276" w:lineRule="auto"/>
        <w:jc w:val="both"/>
        <w:rPr>
          <w:rFonts w:ascii="Times New Roman" w:hAnsi="Times New Roman" w:cs="Times New Roman"/>
        </w:rPr>
      </w:pPr>
      <w:r>
        <w:rPr>
          <w:rFonts w:ascii="Times New Roman" w:hAnsi="Times New Roman" w:cs="Times New Roman"/>
        </w:rPr>
        <w:t>Dashboard 7 is the capstone of the framework, pivoting from monitoring coverage to response effectiveness and trend. A Total Alert card (19,933) sets the baseline, while the Attacks vs Blocked Over Time line shows attack volume peaking in 2022 (10,750) against a block rate that never leaves a narrow 33-34% band. The Key Influencers visual, the Response Summary table, the Block Rate % waterfall and the Attack Type → Action Taken Sankey all converge on the same conclusion: response is uniform - every attack type is blocked, ignored and logged in near-equal thirds, with no risk-weighting - while the Alert Rate bullet chart confirms alerting is applied evenly across threat classes. Taken together the page tells a clear operational story: the environment reliably detects and consistently responds, but blocks only about a third of incidents, leaving a two-thirds tail of ignored and logged activity that is the primary target for future tuning.</w:t>
      </w:r>
    </w:p>
    <w:p w:rsidR="00722E5B" w:rsidRPr="00244B68" w:rsidRDefault="00722E5B">
      <w:pPr>
        <w:spacing w:after="130" w:line="276" w:lineRule="auto"/>
        <w:jc w:val="both"/>
        <w:rPr>
          <w:rFonts w:ascii="Times New Roman" w:hAnsi="Times New Roman" w:cs="Times New Roman"/>
        </w:rPr>
      </w:pPr>
    </w:p>
    <w:p w:rsidR="002A7081" w:rsidRPr="00244B68" w:rsidRDefault="000A24F2">
      <w:pPr>
        <w:pStyle w:val="Heading1"/>
        <w:pBdr>
          <w:bottom w:val="single" w:sz="14" w:space="4" w:color="0F7FC4"/>
        </w:pBdr>
        <w:spacing w:before="300" w:after="130"/>
        <w:rPr>
          <w:rFonts w:ascii="Times New Roman" w:hAnsi="Times New Roman" w:cs="Times New Roman"/>
        </w:rPr>
      </w:pPr>
      <w:r>
        <w:rPr>
          <w:rFonts w:ascii="Times New Roman" w:hAnsi="Times New Roman" w:cs="Times New Roman"/>
        </w:rPr>
        <w:lastRenderedPageBreak/>
        <w:t>6. Snapshots / Screenshots</w:t>
      </w:r>
    </w:p>
    <w:p w:rsidR="00A9422F" w:rsidRPr="00AC3A47" w:rsidRDefault="000A24F2" w:rsidP="00AC3A47">
      <w:pPr>
        <w:spacing w:after="130" w:line="276" w:lineRule="auto"/>
        <w:jc w:val="both"/>
        <w:rPr>
          <w:rFonts w:ascii="Times New Roman" w:hAnsi="Times New Roman" w:cs="Times New Roman"/>
        </w:rPr>
      </w:pPr>
      <w:r>
        <w:rPr>
          <w:rFonts w:ascii="Times New Roman" w:hAnsi="Times New Roman" w:cs="Times New Roman"/>
        </w:rPr>
        <w:t>The interactive dashboard captures are embedded alongside their explanations in Section 5b as Pic 1.1 to Pic 1.7. The table below indexes each snapshot for quick reference. High-resolution screenshots exported directly from Power BI can be inserted in an appendix i</w:t>
      </w:r>
      <w:r w:rsidR="00AC3A47">
        <w:rPr>
          <w:rFonts w:ascii="Times New Roman" w:hAnsi="Times New Roman" w:cs="Times New Roman"/>
        </w:rPr>
        <w:t>f a raw-capture set is required</w:t>
      </w:r>
    </w:p>
    <w:p w:rsidR="0044160B" w:rsidRDefault="0044160B" w:rsidP="007D238B">
      <w:pPr>
        <w:pStyle w:val="Heading2"/>
        <w:spacing w:before="200" w:after="80"/>
        <w:rPr>
          <w:rFonts w:ascii="Segoe UI Symbol" w:hAnsi="Segoe UI Symbol" w:cs="Segoe UI Symbol"/>
          <w:color w:val="0F7FC4"/>
          <w:sz w:val="24"/>
          <w:szCs w:val="24"/>
        </w:rPr>
      </w:pPr>
    </w:p>
    <w:p w:rsidR="0044160B" w:rsidRDefault="0044160B" w:rsidP="007D238B">
      <w:pPr>
        <w:pStyle w:val="Heading2"/>
        <w:spacing w:before="200" w:after="80"/>
        <w:rPr>
          <w:rFonts w:ascii="Segoe UI Symbol" w:hAnsi="Segoe UI Symbol" w:cs="Segoe UI Symbol"/>
          <w:color w:val="0F7FC4"/>
          <w:sz w:val="24"/>
          <w:szCs w:val="24"/>
        </w:rPr>
      </w:pPr>
    </w:p>
    <w:p w:rsidR="00C331ED" w:rsidRPr="0044160B" w:rsidRDefault="0044160B" w:rsidP="007D238B">
      <w:pPr>
        <w:pStyle w:val="Heading2"/>
        <w:spacing w:before="200" w:after="80"/>
        <w:rPr>
          <w:rFonts w:ascii="Segoe UI Symbol" w:hAnsi="Segoe UI Symbol" w:cs="Segoe UI Symbol"/>
          <w:color w:val="0F7FC4"/>
          <w:sz w:val="24"/>
          <w:szCs w:val="24"/>
        </w:rPr>
      </w:pPr>
      <w:r>
        <w:rPr>
          <w:noProof/>
        </w:rPr>
        <w:drawing>
          <wp:anchor distT="0" distB="0" distL="114300" distR="114300" simplePos="0" relativeHeight="251660288" behindDoc="0" locked="0" layoutInCell="1" allowOverlap="1" wp14:anchorId="5D2EC050" wp14:editId="09409410">
            <wp:simplePos x="0" y="0"/>
            <wp:positionH relativeFrom="margin">
              <wp:align>right</wp:align>
            </wp:positionH>
            <wp:positionV relativeFrom="margin">
              <wp:posOffset>2012315</wp:posOffset>
            </wp:positionV>
            <wp:extent cx="6188710" cy="4792980"/>
            <wp:effectExtent l="0" t="0" r="2540" b="7620"/>
            <wp:wrapTopAndBottom/>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937).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188710" cy="4792980"/>
                    </a:xfrm>
                    <a:prstGeom prst="rect">
                      <a:avLst/>
                    </a:prstGeom>
                  </pic:spPr>
                </pic:pic>
              </a:graphicData>
            </a:graphic>
          </wp:anchor>
        </w:drawing>
      </w:r>
      <w:r w:rsidR="00BD074C">
        <w:rPr>
          <w:rFonts w:ascii="Segoe UI Symbol" w:hAnsi="Segoe UI Symbol" w:cs="Segoe UI Symbol"/>
          <w:color w:val="0F7FC4"/>
          <w:sz w:val="24"/>
          <w:szCs w:val="24"/>
        </w:rPr>
        <w:t>▍</w:t>
      </w:r>
      <w:r w:rsidR="00BD074C">
        <w:rPr>
          <w:rFonts w:ascii="Times New Roman" w:hAnsi="Times New Roman" w:cs="Times New Roman"/>
          <w:color w:val="0F7FC4"/>
          <w:sz w:val="24"/>
          <w:szCs w:val="24"/>
        </w:rPr>
        <w:t xml:space="preserve"> </w:t>
      </w:r>
      <w:r w:rsidR="00BD074C">
        <w:rPr>
          <w:rFonts w:ascii="Times New Roman" w:hAnsi="Times New Roman" w:cs="Times New Roman"/>
        </w:rPr>
        <w:t>Data Transformation Steps</w:t>
      </w:r>
    </w:p>
    <w:p w:rsidR="00C331ED" w:rsidRDefault="00C331ED" w:rsidP="0044160B">
      <w:pPr>
        <w:pStyle w:val="Heading2"/>
        <w:tabs>
          <w:tab w:val="left" w:pos="5424"/>
        </w:tabs>
        <w:spacing w:before="200" w:after="80"/>
        <w:rPr>
          <w:rFonts w:ascii="Segoe UI Symbol" w:hAnsi="Segoe UI Symbol" w:cs="Segoe UI Symbol"/>
          <w:color w:val="0F7FC4"/>
          <w:sz w:val="24"/>
          <w:szCs w:val="24"/>
        </w:rPr>
      </w:pPr>
    </w:p>
    <w:p w:rsidR="0044160B" w:rsidRDefault="0044160B" w:rsidP="007D238B">
      <w:pPr>
        <w:pStyle w:val="Heading2"/>
        <w:spacing w:before="200" w:after="80"/>
        <w:rPr>
          <w:rFonts w:ascii="Segoe UI Symbol" w:hAnsi="Segoe UI Symbol" w:cs="Segoe UI Symbol"/>
          <w:color w:val="0F7FC4"/>
          <w:sz w:val="24"/>
          <w:szCs w:val="24"/>
        </w:rPr>
      </w:pPr>
    </w:p>
    <w:p w:rsidR="0044160B" w:rsidRDefault="0044160B" w:rsidP="007D238B">
      <w:pPr>
        <w:pStyle w:val="Heading2"/>
        <w:spacing w:before="200" w:after="80"/>
        <w:rPr>
          <w:rFonts w:ascii="Segoe UI Symbol" w:hAnsi="Segoe UI Symbol" w:cs="Segoe UI Symbol"/>
          <w:color w:val="0F7FC4"/>
          <w:sz w:val="24"/>
          <w:szCs w:val="24"/>
        </w:rPr>
      </w:pPr>
    </w:p>
    <w:p w:rsidR="0044160B" w:rsidRDefault="0044160B" w:rsidP="007D238B">
      <w:pPr>
        <w:pStyle w:val="Heading2"/>
        <w:spacing w:before="200" w:after="80"/>
        <w:rPr>
          <w:rFonts w:ascii="Segoe UI Symbol" w:hAnsi="Segoe UI Symbol" w:cs="Segoe UI Symbol"/>
          <w:color w:val="0F7FC4"/>
          <w:sz w:val="24"/>
          <w:szCs w:val="24"/>
        </w:rPr>
      </w:pPr>
    </w:p>
    <w:p w:rsidR="0044160B" w:rsidRDefault="0044160B" w:rsidP="007D238B">
      <w:pPr>
        <w:pStyle w:val="Heading2"/>
        <w:spacing w:before="200" w:after="80"/>
        <w:rPr>
          <w:rFonts w:ascii="Segoe UI Symbol" w:hAnsi="Segoe UI Symbol" w:cs="Segoe UI Symbol"/>
          <w:color w:val="0F7FC4"/>
          <w:sz w:val="24"/>
          <w:szCs w:val="24"/>
        </w:rPr>
      </w:pPr>
    </w:p>
    <w:p w:rsidR="0044160B" w:rsidRDefault="0044160B" w:rsidP="007D238B">
      <w:pPr>
        <w:pStyle w:val="Heading2"/>
        <w:spacing w:before="200" w:after="80"/>
        <w:rPr>
          <w:rFonts w:ascii="Segoe UI Symbol" w:hAnsi="Segoe UI Symbol" w:cs="Segoe UI Symbol"/>
          <w:color w:val="0F7FC4"/>
          <w:sz w:val="24"/>
          <w:szCs w:val="24"/>
        </w:rPr>
      </w:pPr>
    </w:p>
    <w:p w:rsidR="0044160B" w:rsidRDefault="0044160B" w:rsidP="007D238B">
      <w:pPr>
        <w:pStyle w:val="Heading2"/>
        <w:spacing w:before="200" w:after="80"/>
        <w:rPr>
          <w:rFonts w:ascii="Segoe UI Symbol" w:hAnsi="Segoe UI Symbol" w:cs="Segoe UI Symbol"/>
          <w:color w:val="0F7FC4"/>
          <w:sz w:val="24"/>
          <w:szCs w:val="24"/>
        </w:rPr>
      </w:pPr>
    </w:p>
    <w:p w:rsidR="0044160B" w:rsidRDefault="0044160B" w:rsidP="007D238B">
      <w:pPr>
        <w:pStyle w:val="Heading2"/>
        <w:spacing w:before="200" w:after="80"/>
        <w:rPr>
          <w:rFonts w:ascii="Segoe UI Symbol" w:hAnsi="Segoe UI Symbol" w:cs="Segoe UI Symbol"/>
          <w:color w:val="0F7FC4"/>
          <w:sz w:val="24"/>
          <w:szCs w:val="24"/>
        </w:rPr>
      </w:pPr>
    </w:p>
    <w:p w:rsidR="007D238B" w:rsidRDefault="007D238B" w:rsidP="007D238B">
      <w:pPr>
        <w:pStyle w:val="Heading2"/>
        <w:spacing w:before="200" w:after="80"/>
        <w:rPr>
          <w:rFonts w:ascii="Times New Roman" w:hAnsi="Times New Roman" w:cs="Times New Roman"/>
        </w:rPr>
      </w:pPr>
      <w:r>
        <w:rPr>
          <w:rFonts w:ascii="Segoe UI Symbol" w:hAnsi="Segoe UI Symbol" w:cs="Segoe UI Symbol"/>
          <w:color w:val="0F7FC4"/>
          <w:sz w:val="24"/>
          <w:szCs w:val="24"/>
        </w:rPr>
        <w:t>▍</w:t>
      </w:r>
      <w:r>
        <w:rPr>
          <w:rFonts w:ascii="Times New Roman" w:hAnsi="Times New Roman" w:cs="Times New Roman"/>
          <w:color w:val="0F7FC4"/>
          <w:sz w:val="24"/>
          <w:szCs w:val="24"/>
        </w:rPr>
        <w:t xml:space="preserve"> </w:t>
      </w:r>
      <w:r>
        <w:rPr>
          <w:rFonts w:ascii="Times New Roman" w:hAnsi="Times New Roman" w:cs="Times New Roman"/>
        </w:rPr>
        <w:t xml:space="preserve">Dashboard 1 </w:t>
      </w:r>
      <w:r w:rsidR="002B0252">
        <w:rPr>
          <w:rFonts w:ascii="Times New Roman" w:hAnsi="Times New Roman" w:cs="Times New Roman"/>
        </w:rPr>
        <w:t>-</w:t>
      </w:r>
      <w:r>
        <w:rPr>
          <w:rFonts w:ascii="Times New Roman" w:hAnsi="Times New Roman" w:cs="Times New Roman"/>
        </w:rPr>
        <w:t xml:space="preserve"> Cyber Security Attacks Analysis</w:t>
      </w:r>
    </w:p>
    <w:p w:rsidR="00C331ED" w:rsidRPr="00244B68" w:rsidRDefault="00C331ED" w:rsidP="007D238B">
      <w:pPr>
        <w:pStyle w:val="Heading2"/>
        <w:spacing w:before="200" w:after="80"/>
        <w:rPr>
          <w:rFonts w:ascii="Times New Roman" w:hAnsi="Times New Roman" w:cs="Times New Roman"/>
        </w:rPr>
      </w:pPr>
    </w:p>
    <w:p w:rsidR="00A9422F" w:rsidRPr="00BD074C" w:rsidRDefault="007D238B" w:rsidP="007D238B">
      <w:pPr>
        <w:pStyle w:val="Heading2"/>
        <w:spacing w:before="200" w:after="80"/>
        <w:rPr>
          <w:rFonts w:ascii="Times New Roman" w:hAnsi="Times New Roman" w:cs="Times New Roman"/>
        </w:rPr>
      </w:pPr>
      <w:r>
        <w:rPr>
          <w:rFonts w:ascii="Times New Roman" w:hAnsi="Times New Roman" w:cs="Times New Roman"/>
          <w:noProof/>
        </w:rPr>
        <w:drawing>
          <wp:inline distT="0" distB="0" distL="0" distR="0" wp14:anchorId="6976560B" wp14:editId="6864091D">
            <wp:extent cx="6188710" cy="3536950"/>
            <wp:effectExtent l="0" t="0" r="2540" b="6350"/>
            <wp:docPr id="2314803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91999" name="Picture 145891999"/>
                    <pic:cNvPicPr/>
                  </pic:nvPicPr>
                  <pic:blipFill>
                    <a:blip r:embed="rId22">
                      <a:extLst>
                        <a:ext uri="{28A0092B-C50C-407E-A947-70E740481C1C}">
                          <a14:useLocalDpi xmlns:a14="http://schemas.microsoft.com/office/drawing/2010/main" val="0"/>
                        </a:ext>
                      </a:extLst>
                    </a:blip>
                    <a:stretch>
                      <a:fillRect/>
                    </a:stretch>
                  </pic:blipFill>
                  <pic:spPr>
                    <a:xfrm>
                      <a:off x="0" y="0"/>
                      <a:ext cx="6188710" cy="3536950"/>
                    </a:xfrm>
                    <a:prstGeom prst="rect">
                      <a:avLst/>
                    </a:prstGeom>
                  </pic:spPr>
                </pic:pic>
              </a:graphicData>
            </a:graphic>
          </wp:inline>
        </w:drawing>
      </w:r>
    </w:p>
    <w:p w:rsidR="00B36900" w:rsidRDefault="00B36900" w:rsidP="007D238B">
      <w:pPr>
        <w:pStyle w:val="Heading2"/>
        <w:spacing w:before="200" w:after="80"/>
        <w:rPr>
          <w:rFonts w:ascii="Times New Roman" w:hAnsi="Times New Roman" w:cs="Times New Roman"/>
        </w:rPr>
      </w:pPr>
    </w:p>
    <w:p w:rsidR="00B36900" w:rsidRDefault="00B36900" w:rsidP="007D238B">
      <w:pPr>
        <w:pStyle w:val="Heading2"/>
        <w:spacing w:before="200" w:after="80"/>
        <w:rPr>
          <w:rFonts w:ascii="Times New Roman" w:hAnsi="Times New Roman" w:cs="Times New Roman"/>
        </w:rPr>
      </w:pPr>
    </w:p>
    <w:p w:rsidR="007D238B" w:rsidRPr="00244B68" w:rsidRDefault="00A9422F" w:rsidP="007D238B">
      <w:pPr>
        <w:pStyle w:val="Heading2"/>
        <w:spacing w:before="200" w:after="80"/>
        <w:rPr>
          <w:rFonts w:ascii="Times New Roman" w:hAnsi="Times New Roman" w:cs="Times New Roman"/>
        </w:rPr>
      </w:pPr>
      <w:r>
        <w:rPr>
          <w:rFonts w:ascii="Times New Roman" w:hAnsi="Times New Roman" w:cs="Times New Roman"/>
        </w:rPr>
        <w:t xml:space="preserve">Dashboard 2 </w:t>
      </w:r>
      <w:r w:rsidR="002B0252">
        <w:rPr>
          <w:rFonts w:ascii="Times New Roman" w:hAnsi="Times New Roman" w:cs="Times New Roman"/>
        </w:rPr>
        <w:t>-</w:t>
      </w:r>
      <w:r>
        <w:rPr>
          <w:rFonts w:ascii="Times New Roman" w:hAnsi="Times New Roman" w:cs="Times New Roman"/>
        </w:rPr>
        <w:t xml:space="preserve"> Threat Detection and Anomaly Analysis</w:t>
      </w:r>
    </w:p>
    <w:p w:rsidR="00BD074C" w:rsidRDefault="00BD074C" w:rsidP="00BD074C">
      <w:pPr>
        <w:spacing w:before="120" w:after="20"/>
        <w:jc w:val="center"/>
        <w:rPr>
          <w:rFonts w:ascii="Times New Roman" w:hAnsi="Times New Roman" w:cs="Times New Roman"/>
        </w:rPr>
      </w:pPr>
    </w:p>
    <w:p w:rsidR="004E216D" w:rsidRDefault="007D238B" w:rsidP="00BD074C">
      <w:pPr>
        <w:spacing w:before="120" w:after="20"/>
        <w:jc w:val="center"/>
        <w:rPr>
          <w:rFonts w:ascii="Times New Roman" w:hAnsi="Times New Roman" w:cs="Times New Roman"/>
        </w:rPr>
      </w:pPr>
      <w:r>
        <w:rPr>
          <w:rFonts w:ascii="Times New Roman" w:hAnsi="Times New Roman" w:cs="Times New Roman"/>
          <w:noProof/>
        </w:rPr>
        <w:drawing>
          <wp:inline distT="0" distB="0" distL="0" distR="0" wp14:anchorId="4DA47C1F" wp14:editId="4FEAE11D">
            <wp:extent cx="5274800" cy="2924175"/>
            <wp:effectExtent l="0" t="0" r="2540" b="0"/>
            <wp:docPr id="6696301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574637" name="Picture 2107574637"/>
                    <pic:cNvPicPr/>
                  </pic:nvPicPr>
                  <pic:blipFill>
                    <a:blip r:embed="rId23">
                      <a:extLst>
                        <a:ext uri="{28A0092B-C50C-407E-A947-70E740481C1C}">
                          <a14:useLocalDpi xmlns:a14="http://schemas.microsoft.com/office/drawing/2010/main" val="0"/>
                        </a:ext>
                      </a:extLst>
                    </a:blip>
                    <a:stretch>
                      <a:fillRect/>
                    </a:stretch>
                  </pic:blipFill>
                  <pic:spPr>
                    <a:xfrm>
                      <a:off x="0" y="0"/>
                      <a:ext cx="5323175" cy="2950993"/>
                    </a:xfrm>
                    <a:prstGeom prst="rect">
                      <a:avLst/>
                    </a:prstGeom>
                  </pic:spPr>
                </pic:pic>
              </a:graphicData>
            </a:graphic>
          </wp:inline>
        </w:drawing>
      </w:r>
    </w:p>
    <w:p w:rsidR="00BD074C" w:rsidRDefault="00BD074C" w:rsidP="007D238B">
      <w:pPr>
        <w:pStyle w:val="Heading2"/>
        <w:spacing w:before="200" w:after="80"/>
        <w:rPr>
          <w:rFonts w:ascii="Times New Roman" w:hAnsi="Times New Roman" w:cs="Times New Roman"/>
        </w:rPr>
      </w:pPr>
    </w:p>
    <w:p w:rsidR="00BD074C" w:rsidRDefault="007D238B" w:rsidP="007D238B">
      <w:pPr>
        <w:pStyle w:val="Heading2"/>
        <w:spacing w:before="200" w:after="80"/>
        <w:rPr>
          <w:rFonts w:ascii="Times New Roman" w:hAnsi="Times New Roman" w:cs="Times New Roman"/>
        </w:rPr>
      </w:pPr>
      <w:r>
        <w:rPr>
          <w:rFonts w:ascii="Times New Roman" w:hAnsi="Times New Roman" w:cs="Times New Roman"/>
        </w:rPr>
        <w:lastRenderedPageBreak/>
        <w:t xml:space="preserve">Dashboard 3 </w:t>
      </w:r>
      <w:r w:rsidR="002B0252">
        <w:rPr>
          <w:rFonts w:ascii="Times New Roman" w:hAnsi="Times New Roman" w:cs="Times New Roman"/>
        </w:rPr>
        <w:t>-</w:t>
      </w:r>
      <w:r>
        <w:rPr>
          <w:rFonts w:ascii="Times New Roman" w:hAnsi="Times New Roman" w:cs="Times New Roman"/>
        </w:rPr>
        <w:t xml:space="preserve"> Network Traffic Analysis</w:t>
      </w:r>
    </w:p>
    <w:p w:rsidR="00C331ED" w:rsidRPr="00244B68" w:rsidRDefault="00C331ED" w:rsidP="007D238B">
      <w:pPr>
        <w:pStyle w:val="Heading2"/>
        <w:spacing w:before="200" w:after="80"/>
        <w:rPr>
          <w:rFonts w:ascii="Times New Roman" w:hAnsi="Times New Roman" w:cs="Times New Roman"/>
        </w:rPr>
      </w:pPr>
    </w:p>
    <w:p w:rsidR="007D238B" w:rsidRPr="00244B68" w:rsidRDefault="007D238B" w:rsidP="007D238B">
      <w:pPr>
        <w:spacing w:before="120" w:after="20"/>
        <w:jc w:val="center"/>
        <w:rPr>
          <w:rFonts w:ascii="Times New Roman" w:hAnsi="Times New Roman" w:cs="Times New Roman"/>
        </w:rPr>
      </w:pPr>
      <w:r>
        <w:rPr>
          <w:rFonts w:ascii="Times New Roman" w:hAnsi="Times New Roman" w:cs="Times New Roman"/>
          <w:noProof/>
        </w:rPr>
        <w:drawing>
          <wp:inline distT="0" distB="0" distL="0" distR="0" wp14:anchorId="5BF80CDF" wp14:editId="0306A186">
            <wp:extent cx="5227320" cy="3894972"/>
            <wp:effectExtent l="0" t="0" r="0" b="0"/>
            <wp:docPr id="10243694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015755" name="Picture 368015755"/>
                    <pic:cNvPicPr/>
                  </pic:nvPicPr>
                  <pic:blipFill>
                    <a:blip r:embed="rId24">
                      <a:extLst>
                        <a:ext uri="{28A0092B-C50C-407E-A947-70E740481C1C}">
                          <a14:useLocalDpi xmlns:a14="http://schemas.microsoft.com/office/drawing/2010/main" val="0"/>
                        </a:ext>
                      </a:extLst>
                    </a:blip>
                    <a:stretch>
                      <a:fillRect/>
                    </a:stretch>
                  </pic:blipFill>
                  <pic:spPr>
                    <a:xfrm>
                      <a:off x="0" y="0"/>
                      <a:ext cx="5263672" cy="3922059"/>
                    </a:xfrm>
                    <a:prstGeom prst="rect">
                      <a:avLst/>
                    </a:prstGeom>
                  </pic:spPr>
                </pic:pic>
              </a:graphicData>
            </a:graphic>
          </wp:inline>
        </w:drawing>
      </w:r>
    </w:p>
    <w:p w:rsidR="004E216D" w:rsidRDefault="004E216D">
      <w:pPr>
        <w:pStyle w:val="Heading1"/>
        <w:pBdr>
          <w:bottom w:val="single" w:sz="14" w:space="4" w:color="0F7FC4"/>
        </w:pBdr>
        <w:spacing w:before="300" w:after="130"/>
        <w:rPr>
          <w:rFonts w:ascii="Times New Roman" w:hAnsi="Times New Roman" w:cs="Times New Roman"/>
        </w:rPr>
      </w:pPr>
    </w:p>
    <w:p w:rsidR="007D238B" w:rsidRDefault="007D238B" w:rsidP="007D238B">
      <w:pPr>
        <w:pStyle w:val="Heading2"/>
        <w:spacing w:before="200" w:after="80"/>
        <w:rPr>
          <w:rFonts w:ascii="Times New Roman" w:hAnsi="Times New Roman" w:cs="Times New Roman"/>
        </w:rPr>
      </w:pPr>
      <w:r>
        <w:rPr>
          <w:rFonts w:ascii="Segoe UI Symbol" w:hAnsi="Segoe UI Symbol" w:cs="Segoe UI Symbol"/>
          <w:color w:val="0F7FC4"/>
          <w:sz w:val="24"/>
          <w:szCs w:val="24"/>
        </w:rPr>
        <w:t>▍</w:t>
      </w:r>
      <w:r>
        <w:rPr>
          <w:rFonts w:ascii="Times New Roman" w:hAnsi="Times New Roman" w:cs="Times New Roman"/>
          <w:color w:val="0F7FC4"/>
          <w:sz w:val="24"/>
          <w:szCs w:val="24"/>
        </w:rPr>
        <w:t xml:space="preserve"> </w:t>
      </w:r>
      <w:r>
        <w:rPr>
          <w:rFonts w:ascii="Times New Roman" w:hAnsi="Times New Roman" w:cs="Times New Roman"/>
        </w:rPr>
        <w:t xml:space="preserve">Dashboard 4 </w:t>
      </w:r>
      <w:r w:rsidR="002B0252">
        <w:rPr>
          <w:rFonts w:ascii="Times New Roman" w:hAnsi="Times New Roman" w:cs="Times New Roman"/>
        </w:rPr>
        <w:t>-</w:t>
      </w:r>
      <w:r>
        <w:rPr>
          <w:rFonts w:ascii="Times New Roman" w:hAnsi="Times New Roman" w:cs="Times New Roman"/>
        </w:rPr>
        <w:t xml:space="preserve"> User Behavio</w:t>
      </w:r>
      <w:r w:rsidR="00C331ED">
        <w:rPr>
          <w:rFonts w:ascii="Times New Roman" w:hAnsi="Times New Roman" w:cs="Times New Roman"/>
        </w:rPr>
        <w:t>u</w:t>
      </w:r>
      <w:r>
        <w:rPr>
          <w:rFonts w:ascii="Times New Roman" w:hAnsi="Times New Roman" w:cs="Times New Roman"/>
        </w:rPr>
        <w:t>r Analytics</w:t>
      </w:r>
    </w:p>
    <w:p w:rsidR="00BD074C" w:rsidRDefault="00BD074C" w:rsidP="007D238B">
      <w:pPr>
        <w:pStyle w:val="Heading2"/>
        <w:spacing w:before="200" w:after="80"/>
        <w:rPr>
          <w:rFonts w:ascii="Times New Roman" w:hAnsi="Times New Roman" w:cs="Times New Roman"/>
        </w:rPr>
      </w:pPr>
      <w:r>
        <w:rPr>
          <w:rFonts w:ascii="Times New Roman" w:hAnsi="Times New Roman" w:cs="Times New Roman"/>
          <w:noProof/>
        </w:rPr>
        <w:drawing>
          <wp:inline distT="0" distB="0" distL="0" distR="0" wp14:anchorId="3479AA34" wp14:editId="1CBC26C8">
            <wp:extent cx="6188292" cy="3114675"/>
            <wp:effectExtent l="0" t="0" r="3175" b="0"/>
            <wp:docPr id="10265792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962761" name="Picture 951962761"/>
                    <pic:cNvPicPr/>
                  </pic:nvPicPr>
                  <pic:blipFill>
                    <a:blip r:embed="rId25">
                      <a:extLst>
                        <a:ext uri="{28A0092B-C50C-407E-A947-70E740481C1C}">
                          <a14:useLocalDpi xmlns:a14="http://schemas.microsoft.com/office/drawing/2010/main" val="0"/>
                        </a:ext>
                      </a:extLst>
                    </a:blip>
                    <a:stretch>
                      <a:fillRect/>
                    </a:stretch>
                  </pic:blipFill>
                  <pic:spPr>
                    <a:xfrm>
                      <a:off x="0" y="0"/>
                      <a:ext cx="6193050" cy="3117070"/>
                    </a:xfrm>
                    <a:prstGeom prst="rect">
                      <a:avLst/>
                    </a:prstGeom>
                  </pic:spPr>
                </pic:pic>
              </a:graphicData>
            </a:graphic>
          </wp:inline>
        </w:drawing>
      </w:r>
    </w:p>
    <w:p w:rsidR="00BD074C" w:rsidRDefault="00BD074C" w:rsidP="007D238B">
      <w:pPr>
        <w:pStyle w:val="Heading2"/>
        <w:spacing w:before="200" w:after="80"/>
        <w:rPr>
          <w:rFonts w:ascii="Times New Roman" w:hAnsi="Times New Roman" w:cs="Times New Roman"/>
        </w:rPr>
      </w:pPr>
    </w:p>
    <w:p w:rsidR="007D238B" w:rsidRDefault="007D238B" w:rsidP="007D238B">
      <w:pPr>
        <w:pStyle w:val="Heading2"/>
        <w:spacing w:before="200" w:after="80"/>
        <w:rPr>
          <w:rFonts w:ascii="Times New Roman" w:hAnsi="Times New Roman" w:cs="Times New Roman"/>
        </w:rPr>
      </w:pPr>
      <w:r>
        <w:rPr>
          <w:rFonts w:ascii="Segoe UI Symbol" w:hAnsi="Segoe UI Symbol" w:cs="Segoe UI Symbol"/>
          <w:color w:val="0F7FC4"/>
          <w:sz w:val="24"/>
          <w:szCs w:val="24"/>
        </w:rPr>
        <w:lastRenderedPageBreak/>
        <w:t>▍</w:t>
      </w:r>
      <w:r>
        <w:rPr>
          <w:rFonts w:ascii="Times New Roman" w:hAnsi="Times New Roman" w:cs="Times New Roman"/>
          <w:color w:val="0F7FC4"/>
          <w:sz w:val="24"/>
          <w:szCs w:val="24"/>
        </w:rPr>
        <w:t xml:space="preserve"> </w:t>
      </w:r>
      <w:r>
        <w:rPr>
          <w:rFonts w:ascii="Times New Roman" w:hAnsi="Times New Roman" w:cs="Times New Roman"/>
        </w:rPr>
        <w:t xml:space="preserve">Dashboard 5 </w:t>
      </w:r>
      <w:r w:rsidR="002B0252">
        <w:rPr>
          <w:rFonts w:ascii="Times New Roman" w:hAnsi="Times New Roman" w:cs="Times New Roman"/>
        </w:rPr>
        <w:t>-</w:t>
      </w:r>
      <w:r>
        <w:rPr>
          <w:rFonts w:ascii="Times New Roman" w:hAnsi="Times New Roman" w:cs="Times New Roman"/>
        </w:rPr>
        <w:t xml:space="preserve"> Threat Profile and Severity Breakdown</w:t>
      </w:r>
    </w:p>
    <w:p w:rsidR="00BD074C" w:rsidRPr="00244B68" w:rsidRDefault="00BD074C" w:rsidP="007D238B">
      <w:pPr>
        <w:pStyle w:val="Heading2"/>
        <w:spacing w:before="200" w:after="80"/>
        <w:rPr>
          <w:rFonts w:ascii="Times New Roman" w:hAnsi="Times New Roman" w:cs="Times New Roman"/>
        </w:rPr>
      </w:pPr>
    </w:p>
    <w:p w:rsidR="007D238B" w:rsidRDefault="007D238B" w:rsidP="007D238B">
      <w:pPr>
        <w:spacing w:before="120" w:after="20"/>
        <w:jc w:val="center"/>
        <w:rPr>
          <w:rFonts w:ascii="Times New Roman" w:hAnsi="Times New Roman" w:cs="Times New Roman"/>
        </w:rPr>
      </w:pPr>
      <w:r>
        <w:rPr>
          <w:rFonts w:ascii="Times New Roman" w:hAnsi="Times New Roman" w:cs="Times New Roman"/>
          <w:noProof/>
        </w:rPr>
        <w:drawing>
          <wp:inline distT="0" distB="0" distL="0" distR="0" wp14:anchorId="2F3499D2" wp14:editId="0FFDE0EA">
            <wp:extent cx="5753599" cy="3406435"/>
            <wp:effectExtent l="0" t="0" r="0" b="3810"/>
            <wp:docPr id="13068964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50394" name="Picture 29350394"/>
                    <pic:cNvPicPr/>
                  </pic:nvPicPr>
                  <pic:blipFill>
                    <a:blip r:embed="rId26">
                      <a:extLst>
                        <a:ext uri="{28A0092B-C50C-407E-A947-70E740481C1C}">
                          <a14:useLocalDpi xmlns:a14="http://schemas.microsoft.com/office/drawing/2010/main" val="0"/>
                        </a:ext>
                      </a:extLst>
                    </a:blip>
                    <a:stretch>
                      <a:fillRect/>
                    </a:stretch>
                  </pic:blipFill>
                  <pic:spPr>
                    <a:xfrm>
                      <a:off x="0" y="0"/>
                      <a:ext cx="5753599" cy="3406435"/>
                    </a:xfrm>
                    <a:prstGeom prst="rect">
                      <a:avLst/>
                    </a:prstGeom>
                  </pic:spPr>
                </pic:pic>
              </a:graphicData>
            </a:graphic>
          </wp:inline>
        </w:drawing>
      </w:r>
    </w:p>
    <w:p w:rsidR="0044160B" w:rsidRDefault="0044160B">
      <w:pPr>
        <w:pStyle w:val="Heading2"/>
        <w:spacing w:before="200" w:after="80"/>
        <w:rPr>
          <w:rFonts w:ascii="Segoe UI Symbol" w:hAnsi="Segoe UI Symbol" w:cs="Segoe UI Symbol"/>
          <w:color w:val="0F7FC4"/>
          <w:sz w:val="24"/>
          <w:szCs w:val="24"/>
        </w:rPr>
      </w:pPr>
    </w:p>
    <w:p w:rsidR="00BE1E47" w:rsidRDefault="00EA3F05">
      <w:pPr>
        <w:pStyle w:val="Heading2"/>
        <w:spacing w:before="200" w:after="80"/>
        <w:rPr>
          <w:rFonts w:ascii="Times New Roman" w:hAnsi="Times New Roman" w:cs="Times New Roman"/>
        </w:rPr>
      </w:pPr>
      <w:r>
        <w:rPr>
          <w:rFonts w:ascii="Segoe UI Symbol" w:hAnsi="Segoe UI Symbol" w:cs="Segoe UI Symbol"/>
          <w:color w:val="0F7FC4"/>
          <w:sz w:val="24"/>
          <w:szCs w:val="24"/>
        </w:rPr>
        <w:t>▍</w:t>
      </w:r>
      <w:r>
        <w:rPr>
          <w:rFonts w:ascii="Times New Roman" w:hAnsi="Times New Roman" w:cs="Times New Roman"/>
        </w:rPr>
        <w:t xml:space="preserve"> Dashboard 6 - Security Alert Monitoring</w:t>
      </w:r>
    </w:p>
    <w:p w:rsidR="00BE1E47" w:rsidRPr="0044160B" w:rsidRDefault="0044160B">
      <w:pPr>
        <w:pStyle w:val="NormalWeb"/>
        <w:pBdr>
          <w:top w:val="single" w:sz="6" w:space="10" w:color="BFBFBF"/>
          <w:left w:val="single" w:sz="6" w:space="10" w:color="BFBFBF"/>
          <w:bottom w:val="single" w:sz="6" w:space="10" w:color="BFBFBF"/>
          <w:right w:val="single" w:sz="6" w:space="10" w:color="BFBFBF"/>
        </w:pBdr>
        <w:shd w:val="clear" w:color="auto" w:fill="F2F2F2"/>
        <w:spacing w:before="160" w:after="160"/>
        <w:jc w:val="center"/>
        <w:rPr>
          <w:b/>
        </w:rPr>
      </w:pPr>
      <w:r>
        <w:rPr>
          <w:noProof/>
        </w:rPr>
        <w:drawing>
          <wp:inline distT="0" distB="0" distL="0" distR="0" wp14:anchorId="240E2C72" wp14:editId="7DCA2A77">
            <wp:extent cx="5332286" cy="2943225"/>
            <wp:effectExtent l="0" t="0" r="1905"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4002" t="20806" r="29355" b="13762"/>
                    <a:stretch/>
                  </pic:blipFill>
                  <pic:spPr bwMode="auto">
                    <a:xfrm>
                      <a:off x="0" y="0"/>
                      <a:ext cx="5348768" cy="2952322"/>
                    </a:xfrm>
                    <a:prstGeom prst="rect">
                      <a:avLst/>
                    </a:prstGeom>
                    <a:ln>
                      <a:noFill/>
                    </a:ln>
                    <a:extLst>
                      <a:ext uri="{53640926-AAD7-44D8-BBD7-CCE9431645EC}">
                        <a14:shadowObscured xmlns:a14="http://schemas.microsoft.com/office/drawing/2010/main"/>
                      </a:ext>
                    </a:extLst>
                  </pic:spPr>
                </pic:pic>
              </a:graphicData>
            </a:graphic>
          </wp:inline>
        </w:drawing>
      </w:r>
    </w:p>
    <w:p w:rsidR="0044160B" w:rsidRDefault="0044160B">
      <w:pPr>
        <w:pStyle w:val="Heading2"/>
        <w:spacing w:before="200" w:after="80"/>
        <w:rPr>
          <w:rFonts w:ascii="Segoe UI Symbol" w:hAnsi="Segoe UI Symbol" w:cs="Segoe UI Symbol"/>
          <w:color w:val="0F7FC4"/>
          <w:sz w:val="24"/>
          <w:szCs w:val="24"/>
        </w:rPr>
      </w:pPr>
    </w:p>
    <w:p w:rsidR="0044160B" w:rsidRDefault="0044160B">
      <w:pPr>
        <w:pStyle w:val="Heading2"/>
        <w:spacing w:before="200" w:after="80"/>
        <w:rPr>
          <w:rFonts w:ascii="Segoe UI Symbol" w:hAnsi="Segoe UI Symbol" w:cs="Segoe UI Symbol"/>
          <w:color w:val="0F7FC4"/>
          <w:sz w:val="24"/>
          <w:szCs w:val="24"/>
        </w:rPr>
      </w:pPr>
    </w:p>
    <w:p w:rsidR="0044160B" w:rsidRDefault="0044160B">
      <w:pPr>
        <w:pStyle w:val="Heading2"/>
        <w:spacing w:before="200" w:after="80"/>
        <w:rPr>
          <w:rFonts w:ascii="Segoe UI Symbol" w:hAnsi="Segoe UI Symbol" w:cs="Segoe UI Symbol"/>
          <w:color w:val="0F7FC4"/>
          <w:sz w:val="24"/>
          <w:szCs w:val="24"/>
        </w:rPr>
      </w:pPr>
    </w:p>
    <w:p w:rsidR="00BE1E47" w:rsidRDefault="00EA3F05">
      <w:pPr>
        <w:pStyle w:val="Heading2"/>
        <w:spacing w:before="200" w:after="80"/>
        <w:rPr>
          <w:rFonts w:ascii="Times New Roman" w:hAnsi="Times New Roman" w:cs="Times New Roman"/>
        </w:rPr>
      </w:pPr>
      <w:r>
        <w:rPr>
          <w:rFonts w:ascii="Segoe UI Symbol" w:hAnsi="Segoe UI Symbol" w:cs="Segoe UI Symbol"/>
          <w:color w:val="0F7FC4"/>
          <w:sz w:val="24"/>
          <w:szCs w:val="24"/>
        </w:rPr>
        <w:lastRenderedPageBreak/>
        <w:t>▍</w:t>
      </w:r>
      <w:r>
        <w:rPr>
          <w:rFonts w:ascii="Times New Roman" w:hAnsi="Times New Roman" w:cs="Times New Roman"/>
        </w:rPr>
        <w:t xml:space="preserve"> Dashboard 7 - Attack Trends &amp; Response Effectiveness</w:t>
      </w:r>
    </w:p>
    <w:p w:rsidR="00BE1E47" w:rsidRDefault="0044160B">
      <w:pPr>
        <w:pStyle w:val="NormalWeb"/>
        <w:pBdr>
          <w:top w:val="single" w:sz="6" w:space="10" w:color="BFBFBF"/>
          <w:left w:val="single" w:sz="6" w:space="10" w:color="BFBFBF"/>
          <w:bottom w:val="single" w:sz="6" w:space="10" w:color="BFBFBF"/>
          <w:right w:val="single" w:sz="6" w:space="10" w:color="BFBFBF"/>
        </w:pBdr>
        <w:shd w:val="clear" w:color="auto" w:fill="F2F2F2"/>
        <w:spacing w:before="160" w:after="160"/>
        <w:jc w:val="center"/>
      </w:pPr>
      <w:r>
        <w:rPr>
          <w:noProof/>
        </w:rPr>
        <w:drawing>
          <wp:inline distT="0" distB="0" distL="0" distR="0" wp14:anchorId="350648F7" wp14:editId="1B3A6836">
            <wp:extent cx="5000625" cy="2827456"/>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4156" t="19712" r="29971" b="14036"/>
                    <a:stretch/>
                  </pic:blipFill>
                  <pic:spPr bwMode="auto">
                    <a:xfrm>
                      <a:off x="0" y="0"/>
                      <a:ext cx="5014542" cy="2835325"/>
                    </a:xfrm>
                    <a:prstGeom prst="rect">
                      <a:avLst/>
                    </a:prstGeom>
                    <a:ln>
                      <a:noFill/>
                    </a:ln>
                    <a:extLst>
                      <a:ext uri="{53640926-AAD7-44D8-BBD7-CCE9431645EC}">
                        <a14:shadowObscured xmlns:a14="http://schemas.microsoft.com/office/drawing/2010/main"/>
                      </a:ext>
                    </a:extLst>
                  </pic:spPr>
                </pic:pic>
              </a:graphicData>
            </a:graphic>
          </wp:inline>
        </w:drawing>
      </w:r>
    </w:p>
    <w:p w:rsidR="002D0A7D" w:rsidRDefault="002D0A7D" w:rsidP="007D238B">
      <w:pPr>
        <w:spacing w:before="120" w:after="20"/>
        <w:jc w:val="center"/>
        <w:rPr>
          <w:rFonts w:ascii="Times New Roman" w:hAnsi="Times New Roman" w:cs="Times New Roman"/>
        </w:rPr>
      </w:pPr>
    </w:p>
    <w:p w:rsidR="007D238B" w:rsidRPr="00244B68" w:rsidRDefault="007D238B" w:rsidP="007D238B">
      <w:pPr>
        <w:spacing w:before="40" w:after="200"/>
        <w:jc w:val="center"/>
        <w:rPr>
          <w:rFonts w:ascii="Times New Roman" w:hAnsi="Times New Roman" w:cs="Times New Roman"/>
          <w:i/>
          <w:iCs/>
          <w:color w:val="5B6B7B"/>
          <w:sz w:val="18"/>
          <w:szCs w:val="18"/>
        </w:rPr>
      </w:pPr>
    </w:p>
    <w:p w:rsidR="00722E5B" w:rsidRPr="00244B68" w:rsidRDefault="000A24F2">
      <w:pPr>
        <w:pStyle w:val="Heading1"/>
        <w:pBdr>
          <w:bottom w:val="single" w:sz="14" w:space="4" w:color="0F7FC4"/>
        </w:pBdr>
        <w:spacing w:before="300" w:after="130"/>
        <w:rPr>
          <w:rFonts w:ascii="Times New Roman" w:hAnsi="Times New Roman" w:cs="Times New Roman"/>
        </w:rPr>
      </w:pPr>
      <w:r>
        <w:rPr>
          <w:rFonts w:ascii="Times New Roman" w:hAnsi="Times New Roman" w:cs="Times New Roman"/>
        </w:rPr>
        <w:t>7. Challenges Faced</w:t>
      </w:r>
    </w:p>
    <w:p w:rsidR="002A7081" w:rsidRPr="00244B68" w:rsidRDefault="000A24F2">
      <w:pPr>
        <w:spacing w:after="130" w:line="276" w:lineRule="auto"/>
        <w:jc w:val="both"/>
        <w:rPr>
          <w:rFonts w:ascii="Times New Roman" w:hAnsi="Times New Roman" w:cs="Times New Roman"/>
        </w:rPr>
      </w:pPr>
      <w:r>
        <w:rPr>
          <w:rFonts w:ascii="Times New Roman" w:hAnsi="Times New Roman" w:cs="Times New Roman"/>
        </w:rPr>
        <w:t>The advanced-analytics and reporting phase of Milestone 3 presented several challenges, each of which was resolved through iteration and collaboration:</w:t>
      </w:r>
    </w:p>
    <w:p w:rsidR="002A7081" w:rsidRPr="00244B68" w:rsidRDefault="000A24F2">
      <w:pPr>
        <w:pStyle w:val="ListParagraph"/>
        <w:numPr>
          <w:ilvl w:val="0"/>
          <w:numId w:val="2"/>
        </w:numPr>
        <w:spacing w:after="60" w:line="272" w:lineRule="auto"/>
        <w:jc w:val="both"/>
        <w:rPr>
          <w:rFonts w:ascii="Times New Roman" w:hAnsi="Times New Roman" w:cs="Times New Roman"/>
        </w:rPr>
      </w:pPr>
      <w:r>
        <w:rPr>
          <w:rFonts w:ascii="Times New Roman" w:hAnsi="Times New Roman" w:cs="Times New Roman"/>
        </w:rPr>
        <w:t xml:space="preserve">Handling a 40,000-row model while keeping visuals responsive </w:t>
      </w:r>
      <w:r w:rsidR="002B0252">
        <w:rPr>
          <w:rFonts w:ascii="Times New Roman" w:hAnsi="Times New Roman" w:cs="Times New Roman"/>
        </w:rPr>
        <w:t>-</w:t>
      </w:r>
      <w:r>
        <w:rPr>
          <w:rFonts w:ascii="Times New Roman" w:hAnsi="Times New Roman" w:cs="Times New Roman"/>
        </w:rPr>
        <w:t xml:space="preserve"> this required efficient DAX and disabling unnecessary auto date/time tables.</w:t>
      </w:r>
    </w:p>
    <w:p w:rsidR="002A7081" w:rsidRPr="00244B68" w:rsidRDefault="000A24F2">
      <w:pPr>
        <w:pStyle w:val="ListParagraph"/>
        <w:numPr>
          <w:ilvl w:val="0"/>
          <w:numId w:val="2"/>
        </w:numPr>
        <w:spacing w:after="60" w:line="272" w:lineRule="auto"/>
        <w:jc w:val="both"/>
        <w:rPr>
          <w:rFonts w:ascii="Times New Roman" w:hAnsi="Times New Roman" w:cs="Times New Roman"/>
        </w:rPr>
      </w:pPr>
      <w:r>
        <w:rPr>
          <w:rFonts w:ascii="Times New Roman" w:hAnsi="Times New Roman" w:cs="Times New Roman"/>
        </w:rPr>
        <w:t>Designing meaningful DAX for derived metrics (% High Severity, Block Rate %, Anomaly Score Band bucketing) so that KPIs stayed accurate under all slicer interactions and filter contexts.</w:t>
      </w:r>
    </w:p>
    <w:p w:rsidR="002A7081" w:rsidRPr="00244B68" w:rsidRDefault="000A24F2">
      <w:pPr>
        <w:pStyle w:val="ListParagraph"/>
        <w:numPr>
          <w:ilvl w:val="0"/>
          <w:numId w:val="2"/>
        </w:numPr>
        <w:spacing w:after="60" w:line="272" w:lineRule="auto"/>
        <w:jc w:val="both"/>
        <w:rPr>
          <w:rFonts w:ascii="Times New Roman" w:hAnsi="Times New Roman" w:cs="Times New Roman"/>
        </w:rPr>
      </w:pPr>
      <w:r>
        <w:rPr>
          <w:rFonts w:ascii="Times New Roman" w:hAnsi="Times New Roman" w:cs="Times New Roman"/>
        </w:rPr>
        <w:t>Configuring the decomposition tree and ribbon charts to reveal hierarchy (Attack Type → Severity) without overwhelming the reader.</w:t>
      </w:r>
    </w:p>
    <w:p w:rsidR="002A7081" w:rsidRPr="00244B68" w:rsidRDefault="000A24F2">
      <w:pPr>
        <w:pStyle w:val="ListParagraph"/>
        <w:numPr>
          <w:ilvl w:val="0"/>
          <w:numId w:val="2"/>
        </w:numPr>
        <w:spacing w:after="60" w:line="272" w:lineRule="auto"/>
        <w:jc w:val="both"/>
        <w:rPr>
          <w:rFonts w:ascii="Times New Roman" w:hAnsi="Times New Roman" w:cs="Times New Roman"/>
        </w:rPr>
      </w:pPr>
      <w:r>
        <w:rPr>
          <w:rFonts w:ascii="Times New Roman" w:hAnsi="Times New Roman" w:cs="Times New Roman"/>
        </w:rPr>
        <w:t xml:space="preserve">Maintaining a consistent visual language </w:t>
      </w:r>
      <w:r w:rsidR="002B0252">
        <w:rPr>
          <w:rFonts w:ascii="Times New Roman" w:hAnsi="Times New Roman" w:cs="Times New Roman"/>
        </w:rPr>
        <w:t>-</w:t>
      </w:r>
      <w:r>
        <w:rPr>
          <w:rFonts w:ascii="Times New Roman" w:hAnsi="Times New Roman" w:cs="Times New Roman"/>
        </w:rPr>
        <w:t xml:space="preserve"> colours, fonts and severity encoding </w:t>
      </w:r>
      <w:r w:rsidR="002B0252">
        <w:rPr>
          <w:rFonts w:ascii="Times New Roman" w:hAnsi="Times New Roman" w:cs="Times New Roman"/>
        </w:rPr>
        <w:t>-</w:t>
      </w:r>
      <w:r>
        <w:rPr>
          <w:rFonts w:ascii="Times New Roman" w:hAnsi="Times New Roman" w:cs="Times New Roman"/>
        </w:rPr>
        <w:t xml:space="preserve"> across seven dashboards contributed to by different members.</w:t>
      </w:r>
    </w:p>
    <w:p w:rsidR="002A7081" w:rsidRPr="00244B68" w:rsidRDefault="000A24F2">
      <w:pPr>
        <w:pStyle w:val="ListParagraph"/>
        <w:numPr>
          <w:ilvl w:val="0"/>
          <w:numId w:val="2"/>
        </w:numPr>
        <w:spacing w:after="60" w:line="272" w:lineRule="auto"/>
        <w:jc w:val="both"/>
        <w:rPr>
          <w:rFonts w:ascii="Times New Roman" w:hAnsi="Times New Roman" w:cs="Times New Roman"/>
        </w:rPr>
      </w:pPr>
      <w:r>
        <w:rPr>
          <w:rFonts w:ascii="Times New Roman" w:hAnsi="Times New Roman" w:cs="Times New Roman"/>
        </w:rPr>
        <w:t>Representing geography meaningfully across 28 states without producing a cluttered or misleading map.</w:t>
      </w:r>
    </w:p>
    <w:p w:rsidR="002A7081" w:rsidRPr="00244B68" w:rsidRDefault="000A24F2">
      <w:pPr>
        <w:pStyle w:val="ListParagraph"/>
        <w:numPr>
          <w:ilvl w:val="0"/>
          <w:numId w:val="2"/>
        </w:numPr>
        <w:spacing w:after="60" w:line="272" w:lineRule="auto"/>
        <w:jc w:val="both"/>
        <w:rPr>
          <w:rFonts w:ascii="Times New Roman" w:hAnsi="Times New Roman" w:cs="Times New Roman"/>
        </w:rPr>
      </w:pPr>
      <w:r>
        <w:rPr>
          <w:rFonts w:ascii="Times New Roman" w:hAnsi="Times New Roman" w:cs="Times New Roman"/>
        </w:rPr>
        <w:t xml:space="preserve">Balancing dashboard density </w:t>
      </w:r>
      <w:r w:rsidR="002B0252">
        <w:rPr>
          <w:rFonts w:ascii="Times New Roman" w:hAnsi="Times New Roman" w:cs="Times New Roman"/>
        </w:rPr>
        <w:t>-</w:t>
      </w:r>
      <w:r>
        <w:rPr>
          <w:rFonts w:ascii="Times New Roman" w:hAnsi="Times New Roman" w:cs="Times New Roman"/>
        </w:rPr>
        <w:t xml:space="preserve"> showing all key visuals on each page while preserving readability.</w:t>
      </w:r>
    </w:p>
    <w:p w:rsidR="002A7081" w:rsidRPr="00244B68" w:rsidRDefault="000A24F2">
      <w:pPr>
        <w:pStyle w:val="ListParagraph"/>
        <w:numPr>
          <w:ilvl w:val="0"/>
          <w:numId w:val="2"/>
        </w:numPr>
        <w:spacing w:after="60" w:line="272" w:lineRule="auto"/>
        <w:jc w:val="both"/>
        <w:rPr>
          <w:rFonts w:ascii="Times New Roman" w:hAnsi="Times New Roman" w:cs="Times New Roman"/>
        </w:rPr>
      </w:pPr>
      <w:r>
        <w:rPr>
          <w:rFonts w:ascii="Times New Roman" w:hAnsi="Times New Roman" w:cs="Times New Roman"/>
        </w:rPr>
        <w:t>Coordinating remotely via Microsoft Teams and merging individual work through GitHub with minimal conflicts.</w:t>
      </w:r>
    </w:p>
    <w:p w:rsidR="005F5135" w:rsidRPr="00BD074C" w:rsidRDefault="000A24F2" w:rsidP="00BD074C">
      <w:pPr>
        <w:pStyle w:val="ListParagraph"/>
        <w:numPr>
          <w:ilvl w:val="0"/>
          <w:numId w:val="2"/>
        </w:numPr>
        <w:spacing w:after="60" w:line="272" w:lineRule="auto"/>
        <w:jc w:val="both"/>
        <w:rPr>
          <w:rFonts w:ascii="Times New Roman" w:hAnsi="Times New Roman" w:cs="Times New Roman"/>
        </w:rPr>
      </w:pPr>
      <w:r>
        <w:rPr>
          <w:rFonts w:ascii="Times New Roman" w:hAnsi="Times New Roman" w:cs="Times New Roman"/>
        </w:rPr>
        <w:t xml:space="preserve">Interpreting a near-uniformly distributed dataset </w:t>
      </w:r>
      <w:r w:rsidR="002B0252">
        <w:rPr>
          <w:rFonts w:ascii="Times New Roman" w:hAnsi="Times New Roman" w:cs="Times New Roman"/>
        </w:rPr>
        <w:t>-</w:t>
      </w:r>
      <w:r>
        <w:rPr>
          <w:rFonts w:ascii="Times New Roman" w:hAnsi="Times New Roman" w:cs="Times New Roman"/>
        </w:rPr>
        <w:t xml:space="preserve"> deriving genuine, defensible insights rather than over-reading statistical noise.</w:t>
      </w:r>
    </w:p>
    <w:p w:rsidR="002A7081" w:rsidRPr="00244B68" w:rsidRDefault="000A24F2">
      <w:pPr>
        <w:pStyle w:val="Heading1"/>
        <w:pBdr>
          <w:bottom w:val="single" w:sz="14" w:space="4" w:color="0F7FC4"/>
        </w:pBdr>
        <w:spacing w:before="300" w:after="130"/>
        <w:rPr>
          <w:rFonts w:ascii="Times New Roman" w:hAnsi="Times New Roman" w:cs="Times New Roman"/>
        </w:rPr>
      </w:pPr>
      <w:r>
        <w:rPr>
          <w:rFonts w:ascii="Times New Roman" w:hAnsi="Times New Roman" w:cs="Times New Roman"/>
        </w:rPr>
        <w:t>8. Learnings &amp; Skills Acquired</w:t>
      </w:r>
    </w:p>
    <w:p w:rsidR="002A7081" w:rsidRPr="00244B68" w:rsidRDefault="000A24F2">
      <w:pPr>
        <w:pStyle w:val="Heading2"/>
        <w:spacing w:before="200" w:after="80"/>
        <w:rPr>
          <w:rFonts w:ascii="Times New Roman" w:hAnsi="Times New Roman" w:cs="Times New Roman"/>
        </w:rPr>
      </w:pPr>
      <w:r>
        <w:rPr>
          <w:rFonts w:ascii="Segoe UI Symbol" w:hAnsi="Segoe UI Symbol" w:cs="Segoe UI Symbol"/>
          <w:color w:val="0F7FC4"/>
          <w:sz w:val="24"/>
          <w:szCs w:val="24"/>
        </w:rPr>
        <w:t>▍</w:t>
      </w:r>
      <w:r>
        <w:rPr>
          <w:rFonts w:ascii="Times New Roman" w:hAnsi="Times New Roman" w:cs="Times New Roman"/>
          <w:color w:val="0F7FC4"/>
          <w:sz w:val="24"/>
          <w:szCs w:val="24"/>
        </w:rPr>
        <w:t xml:space="preserve"> </w:t>
      </w:r>
      <w:r>
        <w:rPr>
          <w:rFonts w:ascii="Times New Roman" w:hAnsi="Times New Roman" w:cs="Times New Roman"/>
        </w:rPr>
        <w:t>8.1 Technical Skills</w:t>
      </w:r>
    </w:p>
    <w:p w:rsidR="002A7081" w:rsidRPr="00244B68" w:rsidRDefault="000A24F2">
      <w:pPr>
        <w:pStyle w:val="ListParagraph"/>
        <w:numPr>
          <w:ilvl w:val="0"/>
          <w:numId w:val="2"/>
        </w:numPr>
        <w:spacing w:after="60" w:line="272" w:lineRule="auto"/>
        <w:jc w:val="both"/>
        <w:rPr>
          <w:rFonts w:ascii="Times New Roman" w:hAnsi="Times New Roman" w:cs="Times New Roman"/>
        </w:rPr>
      </w:pPr>
      <w:r>
        <w:rPr>
          <w:rFonts w:ascii="Times New Roman" w:hAnsi="Times New Roman" w:cs="Times New Roman"/>
        </w:rPr>
        <w:t>End-to-end Power BI Desktop: data import, Power Query ETL, modeling, visualization and publishing.</w:t>
      </w:r>
    </w:p>
    <w:p w:rsidR="002A7081" w:rsidRPr="00244B68" w:rsidRDefault="000A24F2">
      <w:pPr>
        <w:pStyle w:val="ListParagraph"/>
        <w:numPr>
          <w:ilvl w:val="0"/>
          <w:numId w:val="2"/>
        </w:numPr>
        <w:spacing w:after="60" w:line="272" w:lineRule="auto"/>
        <w:jc w:val="both"/>
        <w:rPr>
          <w:rFonts w:ascii="Times New Roman" w:hAnsi="Times New Roman" w:cs="Times New Roman"/>
        </w:rPr>
      </w:pPr>
      <w:r>
        <w:rPr>
          <w:rFonts w:ascii="Times New Roman" w:hAnsi="Times New Roman" w:cs="Times New Roman"/>
        </w:rPr>
        <w:t>Writing DAX measures and calculated columns (CALCULATE, DIVIDE, COUNTROWS, AVERAGE and conditional banding).</w:t>
      </w:r>
    </w:p>
    <w:p w:rsidR="002A7081" w:rsidRPr="00244B68" w:rsidRDefault="000A24F2">
      <w:pPr>
        <w:pStyle w:val="ListParagraph"/>
        <w:numPr>
          <w:ilvl w:val="0"/>
          <w:numId w:val="2"/>
        </w:numPr>
        <w:spacing w:after="60" w:line="272" w:lineRule="auto"/>
        <w:jc w:val="both"/>
        <w:rPr>
          <w:rFonts w:ascii="Times New Roman" w:hAnsi="Times New Roman" w:cs="Times New Roman"/>
        </w:rPr>
      </w:pPr>
      <w:r>
        <w:rPr>
          <w:rFonts w:ascii="Times New Roman" w:hAnsi="Times New Roman" w:cs="Times New Roman"/>
        </w:rPr>
        <w:lastRenderedPageBreak/>
        <w:t>Building a date table and managing relationships for time-based analysis.</w:t>
      </w:r>
    </w:p>
    <w:p w:rsidR="002A7081" w:rsidRPr="00244B68" w:rsidRDefault="000A24F2">
      <w:pPr>
        <w:pStyle w:val="ListParagraph"/>
        <w:numPr>
          <w:ilvl w:val="0"/>
          <w:numId w:val="2"/>
        </w:numPr>
        <w:spacing w:after="60" w:line="272" w:lineRule="auto"/>
        <w:jc w:val="both"/>
        <w:rPr>
          <w:rFonts w:ascii="Times New Roman" w:hAnsi="Times New Roman" w:cs="Times New Roman"/>
        </w:rPr>
      </w:pPr>
      <w:r>
        <w:rPr>
          <w:rFonts w:ascii="Times New Roman" w:hAnsi="Times New Roman" w:cs="Times New Roman"/>
        </w:rPr>
        <w:t>Using advanced visuals: decomposition tree, ribbon chart, treemap, gauge, matrix, KPI cards and maps.</w:t>
      </w:r>
    </w:p>
    <w:p w:rsidR="002A7081" w:rsidRPr="00244B68" w:rsidRDefault="000A24F2">
      <w:pPr>
        <w:pStyle w:val="ListParagraph"/>
        <w:numPr>
          <w:ilvl w:val="0"/>
          <w:numId w:val="2"/>
        </w:numPr>
        <w:spacing w:after="60" w:line="272" w:lineRule="auto"/>
        <w:jc w:val="both"/>
        <w:rPr>
          <w:rFonts w:ascii="Times New Roman" w:hAnsi="Times New Roman" w:cs="Times New Roman"/>
        </w:rPr>
      </w:pPr>
      <w:r>
        <w:rPr>
          <w:rFonts w:ascii="Times New Roman" w:hAnsi="Times New Roman" w:cs="Times New Roman"/>
        </w:rPr>
        <w:t>Report theming, slicers, cross-filtering and drill-through.</w:t>
      </w:r>
    </w:p>
    <w:p w:rsidR="002A7081" w:rsidRPr="00244B68" w:rsidRDefault="000A24F2">
      <w:pPr>
        <w:pStyle w:val="ListParagraph"/>
        <w:numPr>
          <w:ilvl w:val="0"/>
          <w:numId w:val="2"/>
        </w:numPr>
        <w:spacing w:after="60" w:line="272" w:lineRule="auto"/>
        <w:jc w:val="both"/>
        <w:rPr>
          <w:rFonts w:ascii="Times New Roman" w:hAnsi="Times New Roman" w:cs="Times New Roman"/>
        </w:rPr>
      </w:pPr>
      <w:r>
        <w:rPr>
          <w:rFonts w:ascii="Times New Roman" w:hAnsi="Times New Roman" w:cs="Times New Roman"/>
        </w:rPr>
        <w:t>Version control with GitHub for the .pbix and documentation artefacts.</w:t>
      </w:r>
    </w:p>
    <w:p w:rsidR="002A7081" w:rsidRPr="00244B68" w:rsidRDefault="000A24F2">
      <w:pPr>
        <w:pStyle w:val="Heading2"/>
        <w:spacing w:before="200" w:after="80"/>
        <w:rPr>
          <w:rFonts w:ascii="Times New Roman" w:hAnsi="Times New Roman" w:cs="Times New Roman"/>
        </w:rPr>
      </w:pPr>
      <w:r>
        <w:rPr>
          <w:rFonts w:ascii="Segoe UI Symbol" w:hAnsi="Segoe UI Symbol" w:cs="Segoe UI Symbol"/>
          <w:color w:val="0F7FC4"/>
          <w:sz w:val="24"/>
          <w:szCs w:val="24"/>
        </w:rPr>
        <w:t>▍</w:t>
      </w:r>
      <w:r>
        <w:rPr>
          <w:rFonts w:ascii="Times New Roman" w:hAnsi="Times New Roman" w:cs="Times New Roman"/>
          <w:color w:val="0F7FC4"/>
          <w:sz w:val="24"/>
          <w:szCs w:val="24"/>
        </w:rPr>
        <w:t xml:space="preserve"> </w:t>
      </w:r>
      <w:r>
        <w:rPr>
          <w:rFonts w:ascii="Times New Roman" w:hAnsi="Times New Roman" w:cs="Times New Roman"/>
        </w:rPr>
        <w:t>8.2 Analytical and Problem-Solving Skills</w:t>
      </w:r>
    </w:p>
    <w:p w:rsidR="002A7081" w:rsidRPr="00244B68" w:rsidRDefault="000A24F2">
      <w:pPr>
        <w:pStyle w:val="ListParagraph"/>
        <w:numPr>
          <w:ilvl w:val="0"/>
          <w:numId w:val="2"/>
        </w:numPr>
        <w:spacing w:after="60" w:line="272" w:lineRule="auto"/>
        <w:jc w:val="both"/>
        <w:rPr>
          <w:rFonts w:ascii="Times New Roman" w:hAnsi="Times New Roman" w:cs="Times New Roman"/>
        </w:rPr>
      </w:pPr>
      <w:r>
        <w:rPr>
          <w:rFonts w:ascii="Times New Roman" w:hAnsi="Times New Roman" w:cs="Times New Roman"/>
        </w:rPr>
        <w:t>Translating a business/security question into measurable KPIs.</w:t>
      </w:r>
    </w:p>
    <w:p w:rsidR="002A7081" w:rsidRPr="00244B68" w:rsidRDefault="000A24F2">
      <w:pPr>
        <w:pStyle w:val="ListParagraph"/>
        <w:numPr>
          <w:ilvl w:val="0"/>
          <w:numId w:val="2"/>
        </w:numPr>
        <w:spacing w:after="60" w:line="272" w:lineRule="auto"/>
        <w:jc w:val="both"/>
        <w:rPr>
          <w:rFonts w:ascii="Times New Roman" w:hAnsi="Times New Roman" w:cs="Times New Roman"/>
        </w:rPr>
      </w:pPr>
      <w:r>
        <w:rPr>
          <w:rFonts w:ascii="Times New Roman" w:hAnsi="Times New Roman" w:cs="Times New Roman"/>
        </w:rPr>
        <w:t>Selecting the most appropriate visual for each analytical intent.</w:t>
      </w:r>
    </w:p>
    <w:p w:rsidR="002A7081" w:rsidRPr="00244B68" w:rsidRDefault="000A24F2">
      <w:pPr>
        <w:pStyle w:val="ListParagraph"/>
        <w:numPr>
          <w:ilvl w:val="0"/>
          <w:numId w:val="2"/>
        </w:numPr>
        <w:spacing w:after="60" w:line="272" w:lineRule="auto"/>
        <w:jc w:val="both"/>
        <w:rPr>
          <w:rFonts w:ascii="Times New Roman" w:hAnsi="Times New Roman" w:cs="Times New Roman"/>
        </w:rPr>
      </w:pPr>
      <w:r>
        <w:rPr>
          <w:rFonts w:ascii="Times New Roman" w:hAnsi="Times New Roman" w:cs="Times New Roman"/>
        </w:rPr>
        <w:t>Reading distributions, proportions and trends to form defensible conclusions.</w:t>
      </w:r>
    </w:p>
    <w:p w:rsidR="002A7081" w:rsidRPr="00244B68" w:rsidRDefault="000A24F2">
      <w:pPr>
        <w:pStyle w:val="ListParagraph"/>
        <w:numPr>
          <w:ilvl w:val="0"/>
          <w:numId w:val="2"/>
        </w:numPr>
        <w:spacing w:after="60" w:line="272" w:lineRule="auto"/>
        <w:jc w:val="both"/>
        <w:rPr>
          <w:rFonts w:ascii="Times New Roman" w:hAnsi="Times New Roman" w:cs="Times New Roman"/>
        </w:rPr>
      </w:pPr>
      <w:r>
        <w:rPr>
          <w:rFonts w:ascii="Times New Roman" w:hAnsi="Times New Roman" w:cs="Times New Roman"/>
        </w:rPr>
        <w:t>Debugging DAX and filter-context issues.</w:t>
      </w:r>
    </w:p>
    <w:p w:rsidR="002A7081" w:rsidRPr="00244B68" w:rsidRDefault="000A24F2">
      <w:pPr>
        <w:pStyle w:val="ListParagraph"/>
        <w:numPr>
          <w:ilvl w:val="0"/>
          <w:numId w:val="2"/>
        </w:numPr>
        <w:spacing w:after="60" w:line="272" w:lineRule="auto"/>
        <w:jc w:val="both"/>
        <w:rPr>
          <w:rFonts w:ascii="Times New Roman" w:hAnsi="Times New Roman" w:cs="Times New Roman"/>
        </w:rPr>
      </w:pPr>
      <w:r>
        <w:rPr>
          <w:rFonts w:ascii="Times New Roman" w:hAnsi="Times New Roman" w:cs="Times New Roman"/>
        </w:rPr>
        <w:t>Validating numbers across visuals to ensure consistency.</w:t>
      </w:r>
    </w:p>
    <w:p w:rsidR="002A7081" w:rsidRPr="00244B68" w:rsidRDefault="000A24F2">
      <w:pPr>
        <w:pStyle w:val="Heading2"/>
        <w:spacing w:before="200" w:after="80"/>
        <w:rPr>
          <w:rFonts w:ascii="Times New Roman" w:hAnsi="Times New Roman" w:cs="Times New Roman"/>
        </w:rPr>
      </w:pPr>
      <w:r>
        <w:rPr>
          <w:rFonts w:ascii="Segoe UI Symbol" w:hAnsi="Segoe UI Symbol" w:cs="Segoe UI Symbol"/>
          <w:color w:val="0F7FC4"/>
          <w:sz w:val="24"/>
          <w:szCs w:val="24"/>
        </w:rPr>
        <w:t>▍</w:t>
      </w:r>
      <w:r>
        <w:rPr>
          <w:rFonts w:ascii="Times New Roman" w:hAnsi="Times New Roman" w:cs="Times New Roman"/>
          <w:color w:val="0F7FC4"/>
          <w:sz w:val="24"/>
          <w:szCs w:val="24"/>
        </w:rPr>
        <w:t xml:space="preserve"> </w:t>
      </w:r>
      <w:r>
        <w:rPr>
          <w:rFonts w:ascii="Times New Roman" w:hAnsi="Times New Roman" w:cs="Times New Roman"/>
        </w:rPr>
        <w:t>8.3 Future Enhancements</w:t>
      </w:r>
    </w:p>
    <w:p w:rsidR="002A7081" w:rsidRPr="00244B68" w:rsidRDefault="000A24F2">
      <w:pPr>
        <w:pStyle w:val="ListParagraph"/>
        <w:numPr>
          <w:ilvl w:val="0"/>
          <w:numId w:val="2"/>
        </w:numPr>
        <w:spacing w:after="60" w:line="272" w:lineRule="auto"/>
        <w:jc w:val="both"/>
        <w:rPr>
          <w:rFonts w:ascii="Times New Roman" w:hAnsi="Times New Roman" w:cs="Times New Roman"/>
        </w:rPr>
      </w:pPr>
      <w:r>
        <w:rPr>
          <w:rFonts w:ascii="Times New Roman" w:hAnsi="Times New Roman" w:cs="Times New Roman"/>
        </w:rPr>
        <w:t>Integrate near-real-time data via scheduled refresh or DirectQuery.</w:t>
      </w:r>
    </w:p>
    <w:p w:rsidR="002A7081" w:rsidRPr="00244B68" w:rsidRDefault="000A24F2">
      <w:pPr>
        <w:pStyle w:val="ListParagraph"/>
        <w:numPr>
          <w:ilvl w:val="0"/>
          <w:numId w:val="2"/>
        </w:numPr>
        <w:spacing w:after="60" w:line="272" w:lineRule="auto"/>
        <w:jc w:val="both"/>
        <w:rPr>
          <w:rFonts w:ascii="Times New Roman" w:hAnsi="Times New Roman" w:cs="Times New Roman"/>
        </w:rPr>
      </w:pPr>
      <w:r>
        <w:rPr>
          <w:rFonts w:ascii="Times New Roman" w:hAnsi="Times New Roman" w:cs="Times New Roman"/>
        </w:rPr>
        <w:t>Add predictive analytics (anomaly forecasting, risk scoring) using Python/R or Azure ML.</w:t>
      </w:r>
    </w:p>
    <w:p w:rsidR="002A7081" w:rsidRPr="00244B68" w:rsidRDefault="000A24F2">
      <w:pPr>
        <w:pStyle w:val="ListParagraph"/>
        <w:numPr>
          <w:ilvl w:val="0"/>
          <w:numId w:val="2"/>
        </w:numPr>
        <w:spacing w:after="60" w:line="272" w:lineRule="auto"/>
        <w:jc w:val="both"/>
        <w:rPr>
          <w:rFonts w:ascii="Times New Roman" w:hAnsi="Times New Roman" w:cs="Times New Roman"/>
        </w:rPr>
      </w:pPr>
      <w:r>
        <w:rPr>
          <w:rFonts w:ascii="Times New Roman" w:hAnsi="Times New Roman" w:cs="Times New Roman"/>
        </w:rPr>
        <w:t>Implement row-level security for role-based dashboards (SOC analyst vs manager).</w:t>
      </w:r>
    </w:p>
    <w:p w:rsidR="002A7081" w:rsidRPr="00244B68" w:rsidRDefault="000A24F2">
      <w:pPr>
        <w:pStyle w:val="ListParagraph"/>
        <w:numPr>
          <w:ilvl w:val="0"/>
          <w:numId w:val="2"/>
        </w:numPr>
        <w:spacing w:after="60" w:line="272" w:lineRule="auto"/>
        <w:jc w:val="both"/>
        <w:rPr>
          <w:rFonts w:ascii="Times New Roman" w:hAnsi="Times New Roman" w:cs="Times New Roman"/>
        </w:rPr>
      </w:pPr>
      <w:r>
        <w:rPr>
          <w:rFonts w:ascii="Times New Roman" w:hAnsi="Times New Roman" w:cs="Times New Roman"/>
        </w:rPr>
        <w:t>Automate alerting on threshold breaches with Power Automate.</w:t>
      </w:r>
    </w:p>
    <w:p w:rsidR="002A7081" w:rsidRPr="00244B68" w:rsidRDefault="000A24F2">
      <w:pPr>
        <w:pStyle w:val="ListParagraph"/>
        <w:numPr>
          <w:ilvl w:val="0"/>
          <w:numId w:val="2"/>
        </w:numPr>
        <w:spacing w:after="60" w:line="272" w:lineRule="auto"/>
        <w:jc w:val="both"/>
        <w:rPr>
          <w:rFonts w:ascii="Times New Roman" w:hAnsi="Times New Roman" w:cs="Times New Roman"/>
        </w:rPr>
      </w:pPr>
      <w:r>
        <w:rPr>
          <w:rFonts w:ascii="Times New Roman" w:hAnsi="Times New Roman" w:cs="Times New Roman"/>
        </w:rPr>
        <w:t>Enable drill-through to raw incident detail and add a true India choropleth map.</w:t>
      </w:r>
    </w:p>
    <w:p w:rsidR="002A7081" w:rsidRPr="00244B68" w:rsidRDefault="000A24F2">
      <w:pPr>
        <w:pStyle w:val="ListParagraph"/>
        <w:numPr>
          <w:ilvl w:val="0"/>
          <w:numId w:val="2"/>
        </w:numPr>
        <w:spacing w:after="60" w:line="272" w:lineRule="auto"/>
        <w:jc w:val="both"/>
        <w:rPr>
          <w:rFonts w:ascii="Times New Roman" w:hAnsi="Times New Roman" w:cs="Times New Roman"/>
        </w:rPr>
      </w:pPr>
      <w:r>
        <w:rPr>
          <w:rFonts w:ascii="Times New Roman" w:hAnsi="Times New Roman" w:cs="Times New Roman"/>
        </w:rPr>
        <w:t>Publish to the Power BI Service within an app workspace for wider stakeholder access.</w:t>
      </w:r>
    </w:p>
    <w:p w:rsidR="002A7081" w:rsidRPr="00244B68" w:rsidRDefault="000A24F2">
      <w:pPr>
        <w:pStyle w:val="Heading2"/>
        <w:spacing w:before="200" w:after="80"/>
        <w:rPr>
          <w:rFonts w:ascii="Times New Roman" w:hAnsi="Times New Roman" w:cs="Times New Roman"/>
        </w:rPr>
      </w:pPr>
      <w:r>
        <w:rPr>
          <w:rFonts w:ascii="Segoe UI Symbol" w:hAnsi="Segoe UI Symbol" w:cs="Segoe UI Symbol"/>
          <w:color w:val="0F7FC4"/>
          <w:sz w:val="24"/>
          <w:szCs w:val="24"/>
        </w:rPr>
        <w:t>▍</w:t>
      </w:r>
      <w:r>
        <w:rPr>
          <w:rFonts w:ascii="Times New Roman" w:hAnsi="Times New Roman" w:cs="Times New Roman"/>
          <w:color w:val="0F7FC4"/>
          <w:sz w:val="24"/>
          <w:szCs w:val="24"/>
        </w:rPr>
        <w:t xml:space="preserve"> </w:t>
      </w:r>
      <w:r>
        <w:rPr>
          <w:rFonts w:ascii="Times New Roman" w:hAnsi="Times New Roman" w:cs="Times New Roman"/>
        </w:rPr>
        <w:t>8.4 Soft Skills and Team Collaboration</w:t>
      </w:r>
    </w:p>
    <w:p w:rsidR="002A7081" w:rsidRPr="00244B68" w:rsidRDefault="000A24F2">
      <w:pPr>
        <w:pStyle w:val="ListParagraph"/>
        <w:numPr>
          <w:ilvl w:val="0"/>
          <w:numId w:val="2"/>
        </w:numPr>
        <w:spacing w:after="60" w:line="272" w:lineRule="auto"/>
        <w:jc w:val="both"/>
        <w:rPr>
          <w:rFonts w:ascii="Times New Roman" w:hAnsi="Times New Roman" w:cs="Times New Roman"/>
        </w:rPr>
      </w:pPr>
      <w:r>
        <w:rPr>
          <w:rFonts w:ascii="Times New Roman" w:hAnsi="Times New Roman" w:cs="Times New Roman"/>
        </w:rPr>
        <w:t>Task distribution, ownership and accountability within the team.</w:t>
      </w:r>
    </w:p>
    <w:p w:rsidR="002A7081" w:rsidRPr="00244B68" w:rsidRDefault="000A24F2">
      <w:pPr>
        <w:pStyle w:val="ListParagraph"/>
        <w:numPr>
          <w:ilvl w:val="0"/>
          <w:numId w:val="2"/>
        </w:numPr>
        <w:spacing w:after="60" w:line="272" w:lineRule="auto"/>
        <w:jc w:val="both"/>
        <w:rPr>
          <w:rFonts w:ascii="Times New Roman" w:hAnsi="Times New Roman" w:cs="Times New Roman"/>
        </w:rPr>
      </w:pPr>
      <w:r>
        <w:rPr>
          <w:rFonts w:ascii="Times New Roman" w:hAnsi="Times New Roman" w:cs="Times New Roman"/>
        </w:rPr>
        <w:t>Communicating analytical findings clearly to non-technical audiences.</w:t>
      </w:r>
    </w:p>
    <w:p w:rsidR="002A7081" w:rsidRPr="00244B68" w:rsidRDefault="000A24F2">
      <w:pPr>
        <w:pStyle w:val="ListParagraph"/>
        <w:numPr>
          <w:ilvl w:val="0"/>
          <w:numId w:val="2"/>
        </w:numPr>
        <w:spacing w:after="60" w:line="272" w:lineRule="auto"/>
        <w:jc w:val="both"/>
        <w:rPr>
          <w:rFonts w:ascii="Times New Roman" w:hAnsi="Times New Roman" w:cs="Times New Roman"/>
        </w:rPr>
      </w:pPr>
      <w:r>
        <w:rPr>
          <w:rFonts w:ascii="Times New Roman" w:hAnsi="Times New Roman" w:cs="Times New Roman"/>
        </w:rPr>
        <w:t>Structured collaboration and a regular review cadence via Microsoft Teams.</w:t>
      </w:r>
    </w:p>
    <w:p w:rsidR="002A7081" w:rsidRPr="00244B68" w:rsidRDefault="000A24F2">
      <w:pPr>
        <w:pStyle w:val="ListParagraph"/>
        <w:numPr>
          <w:ilvl w:val="0"/>
          <w:numId w:val="2"/>
        </w:numPr>
        <w:spacing w:after="60" w:line="272" w:lineRule="auto"/>
        <w:jc w:val="both"/>
        <w:rPr>
          <w:rFonts w:ascii="Times New Roman" w:hAnsi="Times New Roman" w:cs="Times New Roman"/>
        </w:rPr>
      </w:pPr>
      <w:r>
        <w:rPr>
          <w:rFonts w:ascii="Times New Roman" w:hAnsi="Times New Roman" w:cs="Times New Roman"/>
        </w:rPr>
        <w:t>Time management against milestone deadlines.</w:t>
      </w:r>
    </w:p>
    <w:p w:rsidR="002A7081" w:rsidRPr="00244B68" w:rsidRDefault="000A24F2">
      <w:pPr>
        <w:pStyle w:val="ListParagraph"/>
        <w:numPr>
          <w:ilvl w:val="0"/>
          <w:numId w:val="2"/>
        </w:numPr>
        <w:spacing w:after="60" w:line="272" w:lineRule="auto"/>
        <w:jc w:val="both"/>
        <w:rPr>
          <w:rFonts w:ascii="Times New Roman" w:hAnsi="Times New Roman" w:cs="Times New Roman"/>
        </w:rPr>
      </w:pPr>
      <w:r>
        <w:rPr>
          <w:rFonts w:ascii="Times New Roman" w:hAnsi="Times New Roman" w:cs="Times New Roman"/>
        </w:rPr>
        <w:t>Giving and receiving constructive feedback and iterating on it.</w:t>
      </w:r>
    </w:p>
    <w:p w:rsidR="002A7081" w:rsidRPr="00244B68" w:rsidRDefault="000A24F2">
      <w:pPr>
        <w:pStyle w:val="Heading2"/>
        <w:spacing w:before="200" w:after="80"/>
        <w:rPr>
          <w:rFonts w:ascii="Times New Roman" w:hAnsi="Times New Roman" w:cs="Times New Roman"/>
        </w:rPr>
      </w:pPr>
      <w:r>
        <w:rPr>
          <w:rFonts w:ascii="Segoe UI Symbol" w:hAnsi="Segoe UI Symbol" w:cs="Segoe UI Symbol"/>
          <w:color w:val="0F7FC4"/>
          <w:sz w:val="24"/>
          <w:szCs w:val="24"/>
        </w:rPr>
        <w:t>▍</w:t>
      </w:r>
      <w:r>
        <w:rPr>
          <w:rFonts w:ascii="Times New Roman" w:hAnsi="Times New Roman" w:cs="Times New Roman"/>
          <w:color w:val="0F7FC4"/>
          <w:sz w:val="24"/>
          <w:szCs w:val="24"/>
        </w:rPr>
        <w:t xml:space="preserve"> </w:t>
      </w:r>
      <w:r>
        <w:rPr>
          <w:rFonts w:ascii="Times New Roman" w:hAnsi="Times New Roman" w:cs="Times New Roman"/>
        </w:rPr>
        <w:t>8.5 Domain Knowledge and Application</w:t>
      </w:r>
    </w:p>
    <w:p w:rsidR="002A7081" w:rsidRPr="00244B68" w:rsidRDefault="000A24F2">
      <w:pPr>
        <w:pStyle w:val="ListParagraph"/>
        <w:numPr>
          <w:ilvl w:val="0"/>
          <w:numId w:val="2"/>
        </w:numPr>
        <w:spacing w:after="60" w:line="272" w:lineRule="auto"/>
        <w:jc w:val="both"/>
        <w:rPr>
          <w:rFonts w:ascii="Times New Roman" w:hAnsi="Times New Roman" w:cs="Times New Roman"/>
        </w:rPr>
      </w:pPr>
      <w:r>
        <w:rPr>
          <w:rFonts w:ascii="Times New Roman" w:hAnsi="Times New Roman" w:cs="Times New Roman"/>
        </w:rPr>
        <w:t>Core cybersecurity concepts: attack types (DDoS, Malware, Intrusion), severity levels, protocols, packet types, malware indicators (IoC), anomaly scoring, network segments and response actions (Blocked / Ignored / Logged).</w:t>
      </w:r>
    </w:p>
    <w:p w:rsidR="002A7081" w:rsidRPr="00244B68" w:rsidRDefault="000A24F2">
      <w:pPr>
        <w:pStyle w:val="ListParagraph"/>
        <w:numPr>
          <w:ilvl w:val="0"/>
          <w:numId w:val="2"/>
        </w:numPr>
        <w:spacing w:after="60" w:line="272" w:lineRule="auto"/>
        <w:jc w:val="both"/>
        <w:rPr>
          <w:rFonts w:ascii="Times New Roman" w:hAnsi="Times New Roman" w:cs="Times New Roman"/>
        </w:rPr>
      </w:pPr>
      <w:r>
        <w:rPr>
          <w:rFonts w:ascii="Times New Roman" w:hAnsi="Times New Roman" w:cs="Times New Roman"/>
        </w:rPr>
        <w:t>How security operations teams triage and respond to incidents.</w:t>
      </w:r>
    </w:p>
    <w:p w:rsidR="0044160B" w:rsidRDefault="000A24F2" w:rsidP="0044160B">
      <w:pPr>
        <w:pStyle w:val="ListParagraph"/>
        <w:numPr>
          <w:ilvl w:val="0"/>
          <w:numId w:val="2"/>
        </w:numPr>
        <w:spacing w:after="60" w:line="272" w:lineRule="auto"/>
        <w:jc w:val="both"/>
        <w:rPr>
          <w:rFonts w:ascii="Times New Roman" w:hAnsi="Times New Roman" w:cs="Times New Roman"/>
        </w:rPr>
      </w:pPr>
      <w:r>
        <w:rPr>
          <w:rFonts w:ascii="Times New Roman" w:hAnsi="Times New Roman" w:cs="Times New Roman"/>
        </w:rPr>
        <w:t>How business intelligence supports security monitoring, reporting and executive decision-making.</w:t>
      </w:r>
    </w:p>
    <w:p w:rsidR="0044160B" w:rsidRDefault="0044160B" w:rsidP="0044160B">
      <w:pPr>
        <w:spacing w:after="60" w:line="272" w:lineRule="auto"/>
        <w:jc w:val="both"/>
        <w:rPr>
          <w:rFonts w:ascii="Times New Roman" w:hAnsi="Times New Roman" w:cs="Times New Roman"/>
        </w:rPr>
      </w:pPr>
    </w:p>
    <w:p w:rsidR="0044160B" w:rsidRPr="0044160B" w:rsidRDefault="0044160B" w:rsidP="0044160B">
      <w:pPr>
        <w:spacing w:after="60" w:line="272" w:lineRule="auto"/>
        <w:jc w:val="both"/>
        <w:rPr>
          <w:rFonts w:ascii="Times New Roman" w:hAnsi="Times New Roman" w:cs="Times New Roman"/>
        </w:rPr>
      </w:pPr>
    </w:p>
    <w:p w:rsidR="002A7081" w:rsidRPr="00244B68" w:rsidRDefault="000A24F2">
      <w:pPr>
        <w:pStyle w:val="Heading1"/>
        <w:pBdr>
          <w:bottom w:val="single" w:sz="14" w:space="4" w:color="0F7FC4"/>
        </w:pBdr>
        <w:spacing w:before="300" w:after="130"/>
        <w:rPr>
          <w:rFonts w:ascii="Times New Roman" w:hAnsi="Times New Roman" w:cs="Times New Roman"/>
        </w:rPr>
      </w:pPr>
      <w:r>
        <w:rPr>
          <w:rFonts w:ascii="Times New Roman" w:hAnsi="Times New Roman" w:cs="Times New Roman"/>
        </w:rPr>
        <w:t>9. Testimonials from Team</w:t>
      </w:r>
    </w:p>
    <w:p w:rsidR="005F0FE0" w:rsidRDefault="005F0FE0" w:rsidP="00941D8E">
      <w:pPr>
        <w:pStyle w:val="Heading3"/>
      </w:pPr>
      <w:r>
        <w:t>Siddhant Singh</w:t>
      </w:r>
    </w:p>
    <w:p w:rsidR="005F0FE0" w:rsidRDefault="005F0FE0" w:rsidP="00941D8E">
      <w:pPr>
        <w:pStyle w:val="Heading3"/>
      </w:pPr>
    </w:p>
    <w:p w:rsidR="00BE17F9" w:rsidRPr="005F0FE0" w:rsidRDefault="005F0FE0" w:rsidP="00941D8E">
      <w:pPr>
        <w:pStyle w:val="Heading3"/>
        <w:rPr>
          <w:sz w:val="21"/>
          <w:szCs w:val="21"/>
        </w:rPr>
      </w:pPr>
      <w:r w:rsidRPr="005F0FE0">
        <w:rPr>
          <w:sz w:val="21"/>
          <w:szCs w:val="21"/>
        </w:rPr>
        <w:t xml:space="preserve">Siddhant Singh mainly worked on the </w:t>
      </w:r>
      <w:r w:rsidRPr="005F0FE0">
        <w:rPr>
          <w:rStyle w:val="Strong"/>
          <w:sz w:val="21"/>
          <w:szCs w:val="21"/>
        </w:rPr>
        <w:t>data modelling, DAX and analytical layer</w:t>
      </w:r>
      <w:r w:rsidRPr="005F0FE0">
        <w:rPr>
          <w:sz w:val="21"/>
          <w:szCs w:val="21"/>
        </w:rPr>
        <w:t xml:space="preserve"> of the project. He created and marked the Date table, established relationships and developed important measures and calculated columns such as </w:t>
      </w:r>
      <w:r w:rsidRPr="005F0FE0">
        <w:rPr>
          <w:rStyle w:val="Strong"/>
          <w:sz w:val="21"/>
          <w:szCs w:val="21"/>
        </w:rPr>
        <w:t>% High Severity, Block Rate %, Malware Detected, Average Anomaly Score and Anomaly Score Band</w:t>
      </w:r>
      <w:r w:rsidRPr="005F0FE0">
        <w:rPr>
          <w:sz w:val="21"/>
          <w:szCs w:val="21"/>
        </w:rPr>
        <w:t xml:space="preserve">. He was responsible for </w:t>
      </w:r>
      <w:r w:rsidRPr="005F0FE0">
        <w:rPr>
          <w:rStyle w:val="Strong"/>
          <w:sz w:val="21"/>
          <w:szCs w:val="21"/>
        </w:rPr>
        <w:t>Dashboard 5 – Threat Profile and Severity Breakdown and Dashboard 7 – Attack Trends &amp; Response Effectiveness</w:t>
      </w:r>
      <w:r w:rsidRPr="005F0FE0">
        <w:rPr>
          <w:sz w:val="21"/>
          <w:szCs w:val="21"/>
        </w:rPr>
        <w:t xml:space="preserve">. He worked on severity and threat profiling, anomaly-band analysis, attack trends, response effectiveness, Key Influencers and the relationship between attack types and actions such as Blocked, Logged and Ignored. Apart from the technical work, Siddhant coordinated task allocation through Microsoft </w:t>
      </w:r>
      <w:r w:rsidRPr="005F0FE0">
        <w:rPr>
          <w:sz w:val="21"/>
          <w:szCs w:val="21"/>
        </w:rPr>
        <w:lastRenderedPageBreak/>
        <w:t xml:space="preserve">Teams, reviewed team members' visuals to maintain consistent colour and severity encoding, resolved GitHub merge conflicts during integration, and helped team members understand filter context and visual selection. He was also responsible for </w:t>
      </w:r>
      <w:r w:rsidRPr="005F0FE0">
        <w:rPr>
          <w:rStyle w:val="Strong"/>
          <w:sz w:val="21"/>
          <w:szCs w:val="21"/>
        </w:rPr>
        <w:t>preparing and consolidating the project report</w:t>
      </w:r>
      <w:r w:rsidRPr="005F0FE0">
        <w:rPr>
          <w:sz w:val="21"/>
          <w:szCs w:val="21"/>
        </w:rPr>
        <w:t>, ensuring that the team's technical work, findings and documentation were properly organized for the final submission.</w:t>
      </w:r>
    </w:p>
    <w:p w:rsidR="005F0FE0" w:rsidRPr="005F0FE0" w:rsidRDefault="005F0FE0" w:rsidP="00941D8E">
      <w:pPr>
        <w:pStyle w:val="Heading3"/>
        <w:rPr>
          <w:sz w:val="21"/>
          <w:szCs w:val="21"/>
        </w:rPr>
      </w:pPr>
    </w:p>
    <w:p w:rsidR="00941D8E" w:rsidRDefault="00941D8E" w:rsidP="00941D8E">
      <w:pPr>
        <w:pStyle w:val="Heading3"/>
        <w:rPr>
          <w:rStyle w:val="Strong"/>
          <w:b w:val="0"/>
          <w:bCs w:val="0"/>
        </w:rPr>
      </w:pPr>
      <w:r>
        <w:rPr>
          <w:rStyle w:val="Strong"/>
          <w:b w:val="0"/>
          <w:bCs w:val="0"/>
        </w:rPr>
        <w:t>Priyam Sinha</w:t>
      </w:r>
    </w:p>
    <w:p w:rsidR="00BE17F9" w:rsidRDefault="00BE17F9" w:rsidP="00941D8E">
      <w:pPr>
        <w:pStyle w:val="Heading3"/>
      </w:pPr>
    </w:p>
    <w:p w:rsidR="00941D8E" w:rsidRDefault="00BE17F9" w:rsidP="00BE17F9">
      <w:pPr>
        <w:spacing w:after="130" w:line="276" w:lineRule="auto"/>
        <w:jc w:val="both"/>
        <w:rPr>
          <w:rFonts w:ascii="Times New Roman" w:hAnsi="Times New Roman" w:cs="Times New Roman"/>
        </w:rPr>
      </w:pPr>
      <w:r w:rsidRPr="00BE17F9">
        <w:t xml:space="preserve">Priyam Sinha mainly worked on the </w:t>
      </w:r>
      <w:r w:rsidRPr="00BE17F9">
        <w:rPr>
          <w:rStyle w:val="Strong"/>
        </w:rPr>
        <w:t>problem definition, dashboard analysis, insight generation, presentation and documentation</w:t>
      </w:r>
      <w:r w:rsidRPr="00BE17F9">
        <w:t xml:space="preserve"> part of the project. He was responsible for </w:t>
      </w:r>
      <w:r w:rsidRPr="00BE17F9">
        <w:rPr>
          <w:rStyle w:val="Strong"/>
        </w:rPr>
        <w:t>Dashboard 1 – Cyber Security Attacks Analysis, Dashboard 2 – Threat Detection and Anomaly Analysis, and Dashboard 4 – User Behaviour Analytics</w:t>
      </w:r>
      <w:r w:rsidRPr="00BE17F9">
        <w:t>. In Dashboard 1, he worked on the overall attack landscape, KPIs, attack types, severity, actions taken, geographic spread, traffic breakdown and attack trends. In Dashboard 2, he worked on anomaly-score analysis, anomaly bands, browser analysis, state-wise attacks and interactive filters. In Dashboard 4, he analysed user and device behaviour, operating-system distribution and trends, browser anomaly scores and top source IPs</w:t>
      </w:r>
      <w:r>
        <w:t xml:space="preserve">. </w:t>
      </w:r>
      <w:r>
        <w:rPr>
          <w:rFonts w:ascii="Times New Roman" w:hAnsi="Times New Roman" w:cs="Times New Roman"/>
        </w:rPr>
        <w:t>He also took ownership of the documentation effort, consolidating findings into the project report and PowerPoint walkthrough and maintaining the GitHub repository. Priyam's structured thinking, strong communication and eye for presentation gave the final deliverables their clarity and polish.</w:t>
      </w:r>
    </w:p>
    <w:p w:rsidR="00BE17F9" w:rsidRPr="00BE17F9" w:rsidRDefault="00BE17F9" w:rsidP="00BE17F9">
      <w:pPr>
        <w:spacing w:after="130" w:line="276" w:lineRule="auto"/>
        <w:jc w:val="both"/>
        <w:rPr>
          <w:rFonts w:ascii="Times New Roman" w:hAnsi="Times New Roman" w:cs="Times New Roman"/>
        </w:rPr>
      </w:pPr>
    </w:p>
    <w:p w:rsidR="00941D8E" w:rsidRDefault="00941D8E" w:rsidP="00941D8E">
      <w:pPr>
        <w:pStyle w:val="Heading3"/>
        <w:rPr>
          <w:rStyle w:val="Strong"/>
          <w:b w:val="0"/>
          <w:bCs w:val="0"/>
        </w:rPr>
      </w:pPr>
      <w:r>
        <w:rPr>
          <w:rStyle w:val="Strong"/>
          <w:b w:val="0"/>
          <w:bCs w:val="0"/>
        </w:rPr>
        <w:t>Ponnuru Nithin</w:t>
      </w:r>
    </w:p>
    <w:p w:rsidR="00C331ED" w:rsidRPr="005F0FE0" w:rsidRDefault="005F0FE0">
      <w:pPr>
        <w:pStyle w:val="Heading1"/>
        <w:pBdr>
          <w:bottom w:val="single" w:sz="14" w:space="4" w:color="0F7FC4"/>
        </w:pBdr>
        <w:spacing w:before="300" w:after="130"/>
        <w:rPr>
          <w:rFonts w:ascii="Times New Roman" w:hAnsi="Times New Roman" w:cs="Times New Roman"/>
          <w:sz w:val="21"/>
          <w:szCs w:val="21"/>
        </w:rPr>
      </w:pPr>
      <w:r w:rsidRPr="005F0FE0">
        <w:rPr>
          <w:sz w:val="21"/>
          <w:szCs w:val="21"/>
        </w:rPr>
        <w:t xml:space="preserve">Ponnuru Nithin was central to the </w:t>
      </w:r>
      <w:r w:rsidRPr="005F0FE0">
        <w:rPr>
          <w:rStyle w:val="Strong"/>
          <w:sz w:val="21"/>
          <w:szCs w:val="21"/>
        </w:rPr>
        <w:t>data-engineering and dashboard development</w:t>
      </w:r>
      <w:r w:rsidRPr="005F0FE0">
        <w:rPr>
          <w:sz w:val="21"/>
          <w:szCs w:val="21"/>
        </w:rPr>
        <w:t xml:space="preserve"> part of the project, mainly focusing on the data-collection and preparation stages. He sourced and validated the 40,000-record cybersecurity dataset from Kaggle, then shaped it in the Power Query Editor by correcting data types, handling null and inconsistent values, splitting date and time fields, standardising categorical values such as protocol, packet type and action taken, and adding the Severity Sort column that controls ordering across the visuals. Building on this clean foundation, he was responsible for </w:t>
      </w:r>
      <w:r w:rsidRPr="005F0FE0">
        <w:rPr>
          <w:rStyle w:val="Strong"/>
          <w:sz w:val="21"/>
          <w:szCs w:val="21"/>
        </w:rPr>
        <w:t>Dashboard 3 – Network Traffic Analysis</w:t>
      </w:r>
      <w:r w:rsidRPr="005F0FE0">
        <w:rPr>
          <w:sz w:val="21"/>
          <w:szCs w:val="21"/>
        </w:rPr>
        <w:t xml:space="preserve"> and </w:t>
      </w:r>
      <w:r w:rsidRPr="005F0FE0">
        <w:rPr>
          <w:rStyle w:val="Strong"/>
          <w:sz w:val="21"/>
          <w:szCs w:val="21"/>
        </w:rPr>
        <w:t>Dashboard 6 – Security Alert Monitoring</w:t>
      </w:r>
      <w:r w:rsidRPr="005F0FE0">
        <w:rPr>
          <w:sz w:val="21"/>
          <w:szCs w:val="21"/>
        </w:rPr>
        <w:t>. In Dashboard 3, he worked on packet-type, protocol and severity analysis along with the Protocol vs Severity matrix. In Dashboard 6, he worked on security alerts, IDS/IPS alerts, malware detection, proxy information, firewall logs and blocked-rate analysis. Nithin also contributed to dashboard interactivity by configuring slicers and cross-filtering and helped troubleshoot data-refresh and query issues for the team. His attention to data quality and reliability ensured that the downstream analysis was based on a clean and well-structured dataset.</w:t>
      </w:r>
    </w:p>
    <w:p w:rsidR="002A7081" w:rsidRPr="00244B68" w:rsidRDefault="000A24F2">
      <w:pPr>
        <w:pStyle w:val="Heading1"/>
        <w:pBdr>
          <w:bottom w:val="single" w:sz="14" w:space="4" w:color="0F7FC4"/>
        </w:pBdr>
        <w:spacing w:before="300" w:after="130"/>
        <w:rPr>
          <w:rFonts w:ascii="Times New Roman" w:hAnsi="Times New Roman" w:cs="Times New Roman"/>
        </w:rPr>
      </w:pPr>
      <w:r>
        <w:rPr>
          <w:rFonts w:ascii="Times New Roman" w:hAnsi="Times New Roman" w:cs="Times New Roman"/>
        </w:rPr>
        <w:t>10. Conclusion</w:t>
      </w:r>
    </w:p>
    <w:p w:rsidR="002A7081" w:rsidRPr="00244B68" w:rsidRDefault="000A24F2">
      <w:pPr>
        <w:spacing w:after="130" w:line="276" w:lineRule="auto"/>
        <w:jc w:val="both"/>
        <w:rPr>
          <w:rFonts w:ascii="Times New Roman" w:hAnsi="Times New Roman" w:cs="Times New Roman"/>
        </w:rPr>
      </w:pPr>
      <w:r>
        <w:rPr>
          <w:rFonts w:ascii="Times New Roman" w:hAnsi="Times New Roman" w:cs="Times New Roman"/>
        </w:rPr>
        <w:t>This project successfully transformed a large, raw cybersecurity dataset of 40,000 incidents into an Advanced Threat Incident Analytics and Security Visualization Framework comprising seven interactive Power BI dashboards. From attack overview to anomaly detection, network traffic, user behaviour and deep threat profiling, the framework provides a complete, drill-able view of the threat landscape and converts complex log data into intelligence that both technical and non-technical audiences can act on.</w:t>
      </w:r>
    </w:p>
    <w:p w:rsidR="002A7081" w:rsidRPr="00244B68" w:rsidRDefault="000A24F2">
      <w:pPr>
        <w:spacing w:after="130" w:line="276" w:lineRule="auto"/>
        <w:jc w:val="both"/>
        <w:rPr>
          <w:rFonts w:ascii="Times New Roman" w:hAnsi="Times New Roman" w:cs="Times New Roman"/>
        </w:rPr>
      </w:pPr>
      <w:r>
        <w:rPr>
          <w:rFonts w:ascii="Times New Roman" w:hAnsi="Times New Roman" w:cs="Times New Roman"/>
        </w:rPr>
        <w:t xml:space="preserve">The analysis showed a broad, multi-vector threat environment: attack types and severity levels are almost evenly distributed, Windows is the most-targeted operating system at around 45%, malware indicators appear in half of all events, and only about a third of attacks are actively blocked </w:t>
      </w:r>
      <w:r w:rsidR="002B0252">
        <w:rPr>
          <w:rFonts w:ascii="Times New Roman" w:hAnsi="Times New Roman" w:cs="Times New Roman"/>
        </w:rPr>
        <w:t>-</w:t>
      </w:r>
      <w:r>
        <w:rPr>
          <w:rFonts w:ascii="Times New Roman" w:hAnsi="Times New Roman" w:cs="Times New Roman"/>
        </w:rPr>
        <w:t xml:space="preserve"> a clear, quantified opportunity to strengthen response. More importantly, the project reinforced the value of data-driven decision-making and gave the team hands-on mastery of Power BI, DAX, data mode</w:t>
      </w:r>
      <w:r w:rsidR="00C331ED">
        <w:rPr>
          <w:rFonts w:ascii="Times New Roman" w:hAnsi="Times New Roman" w:cs="Times New Roman"/>
        </w:rPr>
        <w:t>l</w:t>
      </w:r>
      <w:r>
        <w:rPr>
          <w:rFonts w:ascii="Times New Roman" w:hAnsi="Times New Roman" w:cs="Times New Roman"/>
        </w:rPr>
        <w:t>ling and analytical storytelling, alongside the collaboration and communication skills essential to professional project delivery. Milestone 3 marks a meaningful step in the team's academic and professional journey and a strong foundation for the future enhancements outlined in Section 8.3.</w:t>
      </w:r>
    </w:p>
    <w:p w:rsidR="0044160B" w:rsidRDefault="0044160B" w:rsidP="00D6199F">
      <w:pPr>
        <w:pStyle w:val="Heading1"/>
        <w:pBdr>
          <w:bottom w:val="single" w:sz="14" w:space="4" w:color="0F7FC4"/>
        </w:pBdr>
        <w:spacing w:before="300" w:after="130"/>
        <w:rPr>
          <w:rFonts w:ascii="Times New Roman" w:hAnsi="Times New Roman" w:cs="Times New Roman"/>
        </w:rPr>
      </w:pPr>
    </w:p>
    <w:p w:rsidR="0044160B" w:rsidRDefault="0044160B" w:rsidP="00D6199F">
      <w:pPr>
        <w:pStyle w:val="Heading1"/>
        <w:pBdr>
          <w:bottom w:val="single" w:sz="14" w:space="4" w:color="0F7FC4"/>
        </w:pBdr>
        <w:spacing w:before="300" w:after="130"/>
        <w:rPr>
          <w:rFonts w:ascii="Times New Roman" w:hAnsi="Times New Roman" w:cs="Times New Roman"/>
        </w:rPr>
      </w:pPr>
    </w:p>
    <w:p w:rsidR="0044160B" w:rsidRDefault="0044160B" w:rsidP="00D6199F">
      <w:pPr>
        <w:pStyle w:val="Heading1"/>
        <w:pBdr>
          <w:bottom w:val="single" w:sz="14" w:space="4" w:color="0F7FC4"/>
        </w:pBdr>
        <w:spacing w:before="300" w:after="130"/>
        <w:rPr>
          <w:rFonts w:ascii="Times New Roman" w:hAnsi="Times New Roman" w:cs="Times New Roman"/>
        </w:rPr>
      </w:pPr>
    </w:p>
    <w:p w:rsidR="00D6199F" w:rsidRPr="00244B68" w:rsidRDefault="00FF6225" w:rsidP="00D6199F">
      <w:pPr>
        <w:pStyle w:val="Heading1"/>
        <w:pBdr>
          <w:bottom w:val="single" w:sz="14" w:space="4" w:color="0F7FC4"/>
        </w:pBdr>
        <w:spacing w:before="300" w:after="130"/>
        <w:rPr>
          <w:rFonts w:ascii="Times New Roman" w:hAnsi="Times New Roman" w:cs="Times New Roman"/>
        </w:rPr>
      </w:pPr>
      <w:r>
        <w:rPr>
          <w:rFonts w:ascii="Times New Roman" w:hAnsi="Times New Roman" w:cs="Times New Roman"/>
        </w:rPr>
        <w:t>11. Acknowledgements</w:t>
      </w:r>
    </w:p>
    <w:p w:rsidR="00D6199F" w:rsidRPr="00244B68" w:rsidRDefault="00D6199F" w:rsidP="00D6199F">
      <w:pPr>
        <w:spacing w:after="130" w:line="276" w:lineRule="auto"/>
        <w:jc w:val="both"/>
        <w:rPr>
          <w:rFonts w:ascii="Times New Roman" w:hAnsi="Times New Roman" w:cs="Times New Roman"/>
        </w:rPr>
      </w:pPr>
      <w:r>
        <w:rPr>
          <w:rFonts w:ascii="Times New Roman" w:hAnsi="Times New Roman" w:cs="Times New Roman"/>
        </w:rPr>
        <w:t>We would like to express our sincere gratitude to the Infosys Springboard Team for organizing this highly enriching virtual internship program and for providing a structured, industry-aligned learning platform. The well-designed modules, milestone-based framework, and practical orientation of the internship enabled us to gain meaningful exposure to real-world business intelligence applications.</w:t>
      </w:r>
    </w:p>
    <w:p w:rsidR="00D6199F" w:rsidRPr="00244B68" w:rsidRDefault="00D6199F" w:rsidP="00D6199F">
      <w:pPr>
        <w:spacing w:after="130" w:line="276" w:lineRule="auto"/>
        <w:jc w:val="both"/>
        <w:rPr>
          <w:rFonts w:ascii="Times New Roman" w:hAnsi="Times New Roman" w:cs="Times New Roman"/>
        </w:rPr>
      </w:pPr>
      <w:r>
        <w:rPr>
          <w:rFonts w:ascii="Times New Roman" w:hAnsi="Times New Roman" w:cs="Times New Roman"/>
        </w:rPr>
        <w:t>We extend our heartfelt appreciation to our mentor, Ms. Nityasree, for her consistent guidance, valuable feedback, and continuous encouragement throughout the project lifecycle. Her insights and structured direction played a significant role in shaping the analytical depth and professional quality of this project. We would also like to acknowledge our team members for their strong collaboration, accountability, and shared commitment toward achieving project objectives. The coordinated distribution of responsibilities, open communication, and collective problem-solving approach significantly contributed to the successful execution of this project.</w:t>
      </w:r>
    </w:p>
    <w:p w:rsidR="00D6199F" w:rsidRPr="00244B68" w:rsidRDefault="00D6199F" w:rsidP="00D6199F">
      <w:pPr>
        <w:spacing w:after="130" w:line="276" w:lineRule="auto"/>
        <w:jc w:val="both"/>
        <w:rPr>
          <w:rFonts w:ascii="Times New Roman" w:hAnsi="Times New Roman" w:cs="Times New Roman"/>
        </w:rPr>
      </w:pPr>
      <w:r>
        <w:rPr>
          <w:rFonts w:ascii="Times New Roman" w:hAnsi="Times New Roman" w:cs="Times New Roman"/>
        </w:rPr>
        <w:t>In addition, we extend our appreciation to the creators and maintainers of Microsoft Power BI documentation and community resources, which served as essential references during dashboard development and KPI implementation. We are also grateful to Kaggle for providing access to publicly available datasets that facilitated practical, hands-on analytical experience.</w:t>
      </w:r>
    </w:p>
    <w:p w:rsidR="00D6199F" w:rsidRPr="00244B68" w:rsidRDefault="00D6199F" w:rsidP="00D6199F">
      <w:pPr>
        <w:spacing w:after="130" w:line="276" w:lineRule="auto"/>
        <w:jc w:val="both"/>
        <w:rPr>
          <w:rFonts w:ascii="Times New Roman" w:hAnsi="Times New Roman" w:cs="Times New Roman"/>
        </w:rPr>
      </w:pPr>
      <w:r>
        <w:rPr>
          <w:rFonts w:ascii="Times New Roman" w:hAnsi="Times New Roman" w:cs="Times New Roman"/>
        </w:rPr>
        <w:t>The structured learning resources and practical exposure provided through this internship have significantly strengthened our analytical thinking, technical proficiency, and business interpretation skills. This experience has enhanced our ability to approach data with a strategic mindset, collaborate effectively within a team environment, and execute projects with professional discipline. Overall, this internship has been a meaningful milestone in our academic and professional journey, reinforcing the value of data-driven decision-making and structured analytical execution in modern business environments.</w:t>
      </w:r>
    </w:p>
    <w:p w:rsidR="00D6199F" w:rsidRPr="00244B68" w:rsidRDefault="00D6199F">
      <w:pPr>
        <w:spacing w:after="130" w:line="276" w:lineRule="auto"/>
        <w:jc w:val="both"/>
        <w:rPr>
          <w:rFonts w:ascii="Times New Roman" w:hAnsi="Times New Roman" w:cs="Times New Roman"/>
        </w:rPr>
      </w:pPr>
    </w:p>
    <w:sectPr w:rsidR="00D6199F" w:rsidRPr="00244B68">
      <w:headerReference w:type="default" r:id="rId29"/>
      <w:footerReference w:type="default" r:id="rId30"/>
      <w:pgSz w:w="11906" w:h="16838"/>
      <w:pgMar w:top="1440" w:right="1080" w:bottom="1080" w:left="1080" w:header="620" w:footer="50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D3210" w:rsidRDefault="00DD3210">
      <w:r>
        <w:separator/>
      </w:r>
    </w:p>
  </w:endnote>
  <w:endnote w:type="continuationSeparator" w:id="0">
    <w:p w:rsidR="00DD3210" w:rsidRDefault="00DD32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altName w:val="Arial"/>
    <w:charset w:val="00"/>
    <w:family w:val="swiss"/>
    <w:pitch w:val="variable"/>
    <w:sig w:usb0="00000001" w:usb1="00000003" w:usb2="00000000" w:usb3="00000000" w:csb0="0000019F" w:csb1="00000000"/>
  </w:font>
  <w:font w:name="Aptos">
    <w:altName w:val="Arial"/>
    <w:charset w:val="00"/>
    <w:family w:val="swiss"/>
    <w:pitch w:val="variable"/>
    <w:sig w:usb0="00000001" w:usb1="00000003"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E257D" w:rsidRDefault="00BE257D">
    <w:pPr>
      <w:pBdr>
        <w:top w:val="single" w:sz="6" w:space="3" w:color="CBD9E6"/>
      </w:pBdr>
      <w:tabs>
        <w:tab w:val="right" w:pos="9500"/>
      </w:tabs>
    </w:pPr>
    <w:r>
      <w:rPr>
        <w:noProof/>
        <w:color w:val="156082" w:themeColor="accent1"/>
      </w:rPr>
      <mc:AlternateContent>
        <mc:Choice Requires="wps">
          <w:drawing>
            <wp:anchor distT="0" distB="0" distL="114300" distR="114300" simplePos="0" relativeHeight="251660288" behindDoc="0" locked="0" layoutInCell="1" allowOverlap="1" wp14:anchorId="2CE934D2" wp14:editId="099C2AAB">
              <wp:simplePos x="0" y="0"/>
              <wp:positionH relativeFrom="page">
                <wp:align>center</wp:align>
              </wp:positionH>
              <wp:positionV relativeFrom="page">
                <wp:align>center</wp:align>
              </wp:positionV>
              <wp:extent cx="7364730" cy="9528810"/>
              <wp:effectExtent l="0" t="0" r="26670" b="26670"/>
              <wp:wrapNone/>
              <wp:docPr id="452" name="Rectangle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3517C7DC" id="Rectangle 452" o:spid="_x0000_s1026" style="position:absolute;margin-left:0;margin-top:0;width:579.9pt;height:750.3pt;z-index:251660288;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" filled="f" strokecolor="#737373 [1614]" strokeweight="1.25pt">
              <w10:wrap anchorx="page" anchory="page"/>
            </v:rect>
          </w:pict>
        </mc:Fallback>
      </mc:AlternateContent>
    </w:r>
    <w:r>
      <w:rPr>
        <w:color w:val="156082" w:themeColor="accent1"/>
      </w:rPr>
      <w:t xml:space="preserve">                                                                                                                                                                                                 </w:t>
    </w:r>
    <w:r>
      <w:rPr>
        <w:rFonts w:asciiTheme="majorHAnsi" w:eastAsiaTheme="majorEastAsia" w:hAnsiTheme="majorHAnsi" w:cstheme="majorBidi"/>
        <w:color w:val="156082" w:themeColor="accent1"/>
        <w:sz w:val="20"/>
        <w:szCs w:val="20"/>
      </w:rPr>
      <w:t xml:space="preserve">pg. </w:t>
    </w:r>
    <w:r>
      <w:rPr>
        <w:rFonts w:asciiTheme="minorHAnsi" w:eastAsiaTheme="minorEastAsia" w:hAnsiTheme="minorHAnsi" w:cstheme="minorBidi"/>
        <w:color w:val="156082" w:themeColor="accent1"/>
        <w:sz w:val="20"/>
        <w:szCs w:val="20"/>
      </w:rPr>
      <w:fldChar w:fldCharType="begin"/>
    </w:r>
    <w:r>
      <w:rPr>
        <w:color w:val="156082" w:themeColor="accent1"/>
        <w:sz w:val="20"/>
        <w:szCs w:val="20"/>
      </w:rPr>
      <w:instrText xml:space="preserve"> PAGE    \* MERGEFORMAT </w:instrText>
    </w:r>
    <w:r>
      <w:rPr>
        <w:rFonts w:asciiTheme="minorHAnsi" w:eastAsiaTheme="minorEastAsia" w:hAnsiTheme="minorHAnsi" w:cstheme="minorBidi"/>
        <w:color w:val="156082" w:themeColor="accent1"/>
        <w:sz w:val="20"/>
        <w:szCs w:val="20"/>
      </w:rPr>
      <w:fldChar w:fldCharType="separate"/>
    </w:r>
    <w:r w:rsidR="00610CFB" w:rsidRPr="00610CFB">
      <w:rPr>
        <w:rFonts w:asciiTheme="majorHAnsi" w:eastAsiaTheme="majorEastAsia" w:hAnsiTheme="majorHAnsi" w:cstheme="majorBidi"/>
        <w:noProof/>
        <w:color w:val="156082" w:themeColor="accent1"/>
        <w:sz w:val="20"/>
        <w:szCs w:val="20"/>
      </w:rPr>
      <w:t>1</w:t>
    </w:r>
    <w:r>
      <w:rPr>
        <w:rFonts w:asciiTheme="majorHAnsi" w:eastAsiaTheme="majorEastAsia" w:hAnsiTheme="majorHAnsi" w:cstheme="majorBidi"/>
        <w:noProof/>
        <w:color w:val="156082" w:themeColor="accent1"/>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D3210" w:rsidRDefault="00DD3210">
      <w:r>
        <w:separator/>
      </w:r>
    </w:p>
  </w:footnote>
  <w:footnote w:type="continuationSeparator" w:id="0">
    <w:p w:rsidR="00DD3210" w:rsidRDefault="00DD3210">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E257D" w:rsidRDefault="00BE257D">
    <w:pPr>
      <w:pBdr>
        <w:bottom w:val="single" w:sz="8" w:space="4" w:color="CBD9E6"/>
      </w:pBdr>
      <w:tabs>
        <w:tab w:val="right" w:pos="9500"/>
      </w:tabs>
      <w:spacing w:after="20"/>
    </w:pPr>
    <w:r>
      <w:rPr>
        <w:noProof/>
      </w:rPr>
      <w:drawing>
        <wp:anchor distT="0" distB="0" distL="114300" distR="114300" simplePos="0" relativeHeight="251658240" behindDoc="0" locked="0" layoutInCell="1" allowOverlap="1" wp14:anchorId="24DB892B" wp14:editId="5296672B">
          <wp:simplePos x="0" y="0"/>
          <wp:positionH relativeFrom="column">
            <wp:posOffset>5448300</wp:posOffset>
          </wp:positionH>
          <wp:positionV relativeFrom="page">
            <wp:posOffset>295275</wp:posOffset>
          </wp:positionV>
          <wp:extent cx="1104900" cy="341630"/>
          <wp:effectExtent l="0" t="0" r="0" b="0"/>
          <wp:wrapTopAndBottom/>
          <wp:docPr id="618346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04900" cy="341630"/>
                  </a:xfrm>
                  <a:prstGeom prst="rect">
                    <a:avLst/>
                  </a:prstGeom>
                  <a:noFill/>
                </pic:spPr>
              </pic:pic>
            </a:graphicData>
          </a:graphic>
          <wp14:sizeRelH relativeFrom="margin">
            <wp14:pctWidth>0</wp14:pctWidth>
          </wp14:sizeRelH>
          <wp14:sizeRelV relativeFrom="margin">
            <wp14:pctHeight>0</wp14:pctHeight>
          </wp14:sizeRelV>
        </wp:anchor>
      </w:drawing>
    </w:r>
    <w:r>
      <w:rPr>
        <w:b/>
        <w:bCs/>
        <w:color w:val="0B639C"/>
        <w:sz w:val="17"/>
        <w:szCs w:val="17"/>
      </w:rPr>
      <w:t>Virtual Internship 7.0</w:t>
    </w:r>
    <w: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991B4E"/>
    <w:multiLevelType w:val="multilevel"/>
    <w:tmpl w:val="8752B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6618CF"/>
    <w:multiLevelType w:val="multilevel"/>
    <w:tmpl w:val="E3C6B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D06364"/>
    <w:multiLevelType w:val="multilevel"/>
    <w:tmpl w:val="75E67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BD70D7"/>
    <w:multiLevelType w:val="multilevel"/>
    <w:tmpl w:val="4D402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A93846"/>
    <w:multiLevelType w:val="multilevel"/>
    <w:tmpl w:val="0CC2D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0208F1"/>
    <w:multiLevelType w:val="hybridMultilevel"/>
    <w:tmpl w:val="64CA265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3816560"/>
    <w:multiLevelType w:val="multilevel"/>
    <w:tmpl w:val="BEAEB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0F38A5"/>
    <w:multiLevelType w:val="multilevel"/>
    <w:tmpl w:val="B0229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692A79"/>
    <w:multiLevelType w:val="multilevel"/>
    <w:tmpl w:val="3A400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1208B0"/>
    <w:multiLevelType w:val="multilevel"/>
    <w:tmpl w:val="07942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963B49"/>
    <w:multiLevelType w:val="hybridMultilevel"/>
    <w:tmpl w:val="1FC06826"/>
    <w:lvl w:ilvl="0" w:tplc="0E4CB98C">
      <w:start w:val="1"/>
      <w:numFmt w:val="bullet"/>
      <w:lvlText w:val="•"/>
      <w:lvlJc w:val="left"/>
      <w:pPr>
        <w:ind w:left="360" w:hanging="220"/>
      </w:pPr>
      <w:rPr>
        <w:color w:val="1F6FB2"/>
      </w:rPr>
    </w:lvl>
    <w:lvl w:ilvl="1" w:tplc="A2A64DF6">
      <w:numFmt w:val="decimal"/>
      <w:lvlText w:val=""/>
      <w:lvlJc w:val="left"/>
    </w:lvl>
    <w:lvl w:ilvl="2" w:tplc="3AA06AEE">
      <w:numFmt w:val="decimal"/>
      <w:lvlText w:val=""/>
      <w:lvlJc w:val="left"/>
    </w:lvl>
    <w:lvl w:ilvl="3" w:tplc="A6FA523C">
      <w:numFmt w:val="decimal"/>
      <w:lvlText w:val=""/>
      <w:lvlJc w:val="left"/>
    </w:lvl>
    <w:lvl w:ilvl="4" w:tplc="5C769E98">
      <w:numFmt w:val="decimal"/>
      <w:lvlText w:val=""/>
      <w:lvlJc w:val="left"/>
    </w:lvl>
    <w:lvl w:ilvl="5" w:tplc="C69CC908">
      <w:numFmt w:val="decimal"/>
      <w:lvlText w:val=""/>
      <w:lvlJc w:val="left"/>
    </w:lvl>
    <w:lvl w:ilvl="6" w:tplc="BCDAA596">
      <w:numFmt w:val="decimal"/>
      <w:lvlText w:val=""/>
      <w:lvlJc w:val="left"/>
    </w:lvl>
    <w:lvl w:ilvl="7" w:tplc="178470DA">
      <w:numFmt w:val="decimal"/>
      <w:lvlText w:val=""/>
      <w:lvlJc w:val="left"/>
    </w:lvl>
    <w:lvl w:ilvl="8" w:tplc="E03E636E">
      <w:numFmt w:val="decimal"/>
      <w:lvlText w:val=""/>
      <w:lvlJc w:val="left"/>
    </w:lvl>
  </w:abstractNum>
  <w:abstractNum w:abstractNumId="11" w15:restartNumberingAfterBreak="0">
    <w:nsid w:val="1CBF00B4"/>
    <w:multiLevelType w:val="multilevel"/>
    <w:tmpl w:val="5BF2A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2E2B97"/>
    <w:multiLevelType w:val="multilevel"/>
    <w:tmpl w:val="D69CC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263D1F"/>
    <w:multiLevelType w:val="multilevel"/>
    <w:tmpl w:val="21FAF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495C88"/>
    <w:multiLevelType w:val="multilevel"/>
    <w:tmpl w:val="3C90C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FC5D88"/>
    <w:multiLevelType w:val="multilevel"/>
    <w:tmpl w:val="F566D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002C72"/>
    <w:multiLevelType w:val="multilevel"/>
    <w:tmpl w:val="A6963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A867C2"/>
    <w:multiLevelType w:val="multilevel"/>
    <w:tmpl w:val="B3A8B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334EC7"/>
    <w:multiLevelType w:val="multilevel"/>
    <w:tmpl w:val="D856E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C46749"/>
    <w:multiLevelType w:val="multilevel"/>
    <w:tmpl w:val="334C3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D21194"/>
    <w:multiLevelType w:val="multilevel"/>
    <w:tmpl w:val="095A0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A6722B"/>
    <w:multiLevelType w:val="hybridMultilevel"/>
    <w:tmpl w:val="AA202878"/>
    <w:lvl w:ilvl="0" w:tplc="04D6E8F0">
      <w:start w:val="1"/>
      <w:numFmt w:val="bullet"/>
      <w:lvlText w:val="●"/>
      <w:lvlJc w:val="left"/>
      <w:pPr>
        <w:ind w:left="720" w:hanging="360"/>
      </w:pPr>
    </w:lvl>
    <w:lvl w:ilvl="1" w:tplc="E67845B4">
      <w:start w:val="1"/>
      <w:numFmt w:val="bullet"/>
      <w:lvlText w:val="○"/>
      <w:lvlJc w:val="left"/>
      <w:pPr>
        <w:ind w:left="1440" w:hanging="360"/>
      </w:pPr>
    </w:lvl>
    <w:lvl w:ilvl="2" w:tplc="628C327A">
      <w:start w:val="1"/>
      <w:numFmt w:val="bullet"/>
      <w:lvlText w:val="■"/>
      <w:lvlJc w:val="left"/>
      <w:pPr>
        <w:ind w:left="2160" w:hanging="360"/>
      </w:pPr>
    </w:lvl>
    <w:lvl w:ilvl="3" w:tplc="DBDC3B0C">
      <w:start w:val="1"/>
      <w:numFmt w:val="bullet"/>
      <w:lvlText w:val="●"/>
      <w:lvlJc w:val="left"/>
      <w:pPr>
        <w:ind w:left="2880" w:hanging="360"/>
      </w:pPr>
    </w:lvl>
    <w:lvl w:ilvl="4" w:tplc="9D8C840A">
      <w:start w:val="1"/>
      <w:numFmt w:val="bullet"/>
      <w:lvlText w:val="○"/>
      <w:lvlJc w:val="left"/>
      <w:pPr>
        <w:ind w:left="3600" w:hanging="360"/>
      </w:pPr>
    </w:lvl>
    <w:lvl w:ilvl="5" w:tplc="DBF62672">
      <w:start w:val="1"/>
      <w:numFmt w:val="bullet"/>
      <w:lvlText w:val="■"/>
      <w:lvlJc w:val="left"/>
      <w:pPr>
        <w:ind w:left="4320" w:hanging="360"/>
      </w:pPr>
    </w:lvl>
    <w:lvl w:ilvl="6" w:tplc="3D94AE70">
      <w:start w:val="1"/>
      <w:numFmt w:val="bullet"/>
      <w:lvlText w:val="●"/>
      <w:lvlJc w:val="left"/>
      <w:pPr>
        <w:ind w:left="5040" w:hanging="360"/>
      </w:pPr>
    </w:lvl>
    <w:lvl w:ilvl="7" w:tplc="B4628470">
      <w:start w:val="1"/>
      <w:numFmt w:val="bullet"/>
      <w:lvlText w:val="●"/>
      <w:lvlJc w:val="left"/>
      <w:pPr>
        <w:ind w:left="5760" w:hanging="360"/>
      </w:pPr>
    </w:lvl>
    <w:lvl w:ilvl="8" w:tplc="461ADC76">
      <w:start w:val="1"/>
      <w:numFmt w:val="bullet"/>
      <w:lvlText w:val="●"/>
      <w:lvlJc w:val="left"/>
      <w:pPr>
        <w:ind w:left="6480" w:hanging="360"/>
      </w:pPr>
    </w:lvl>
  </w:abstractNum>
  <w:abstractNum w:abstractNumId="22" w15:restartNumberingAfterBreak="0">
    <w:nsid w:val="46502BB0"/>
    <w:multiLevelType w:val="multilevel"/>
    <w:tmpl w:val="795C3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A6243B"/>
    <w:multiLevelType w:val="multilevel"/>
    <w:tmpl w:val="640EE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2100C1"/>
    <w:multiLevelType w:val="multilevel"/>
    <w:tmpl w:val="0FA68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48204C"/>
    <w:multiLevelType w:val="multilevel"/>
    <w:tmpl w:val="9C2CE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E454E4"/>
    <w:multiLevelType w:val="multilevel"/>
    <w:tmpl w:val="F2624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065972"/>
    <w:multiLevelType w:val="hybridMultilevel"/>
    <w:tmpl w:val="6EB8ED0C"/>
    <w:lvl w:ilvl="0" w:tplc="9354858C">
      <w:start w:val="1"/>
      <w:numFmt w:val="bullet"/>
      <w:lvlText w:val="•"/>
      <w:lvlJc w:val="left"/>
      <w:pPr>
        <w:ind w:left="380" w:hanging="230"/>
      </w:pPr>
      <w:rPr>
        <w:color w:val="0F7FC4"/>
      </w:rPr>
    </w:lvl>
    <w:lvl w:ilvl="1" w:tplc="B78E3D4C">
      <w:start w:val="1"/>
      <w:numFmt w:val="bullet"/>
      <w:lvlText w:val="◦"/>
      <w:lvlJc w:val="left"/>
      <w:pPr>
        <w:ind w:left="760" w:hanging="230"/>
      </w:pPr>
    </w:lvl>
    <w:lvl w:ilvl="2" w:tplc="DED4F0DA">
      <w:numFmt w:val="decimal"/>
      <w:lvlText w:val=""/>
      <w:lvlJc w:val="left"/>
    </w:lvl>
    <w:lvl w:ilvl="3" w:tplc="77DCCC92">
      <w:numFmt w:val="decimal"/>
      <w:lvlText w:val=""/>
      <w:lvlJc w:val="left"/>
    </w:lvl>
    <w:lvl w:ilvl="4" w:tplc="A6C426C6">
      <w:numFmt w:val="decimal"/>
      <w:lvlText w:val=""/>
      <w:lvlJc w:val="left"/>
    </w:lvl>
    <w:lvl w:ilvl="5" w:tplc="D592DD9C">
      <w:numFmt w:val="decimal"/>
      <w:lvlText w:val=""/>
      <w:lvlJc w:val="left"/>
    </w:lvl>
    <w:lvl w:ilvl="6" w:tplc="69AED0C8">
      <w:numFmt w:val="decimal"/>
      <w:lvlText w:val=""/>
      <w:lvlJc w:val="left"/>
    </w:lvl>
    <w:lvl w:ilvl="7" w:tplc="3BB4B9E4">
      <w:numFmt w:val="decimal"/>
      <w:lvlText w:val=""/>
      <w:lvlJc w:val="left"/>
    </w:lvl>
    <w:lvl w:ilvl="8" w:tplc="D1A4FFDC">
      <w:numFmt w:val="decimal"/>
      <w:lvlText w:val=""/>
      <w:lvlJc w:val="left"/>
    </w:lvl>
  </w:abstractNum>
  <w:abstractNum w:abstractNumId="28" w15:restartNumberingAfterBreak="0">
    <w:nsid w:val="683337E5"/>
    <w:multiLevelType w:val="multilevel"/>
    <w:tmpl w:val="1D025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88326B3"/>
    <w:multiLevelType w:val="multilevel"/>
    <w:tmpl w:val="C4F46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E6180B"/>
    <w:multiLevelType w:val="multilevel"/>
    <w:tmpl w:val="4386D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CF30347"/>
    <w:multiLevelType w:val="multilevel"/>
    <w:tmpl w:val="B6928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5E5CE6"/>
    <w:multiLevelType w:val="multilevel"/>
    <w:tmpl w:val="45C86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FEB4B74"/>
    <w:multiLevelType w:val="multilevel"/>
    <w:tmpl w:val="B2481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1D46EE"/>
    <w:multiLevelType w:val="multilevel"/>
    <w:tmpl w:val="BC965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D480F90"/>
    <w:multiLevelType w:val="multilevel"/>
    <w:tmpl w:val="95148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1"/>
    <w:lvlOverride w:ilvl="0">
      <w:startOverride w:val="1"/>
    </w:lvlOverride>
  </w:num>
  <w:num w:numId="2">
    <w:abstractNumId w:val="27"/>
    <w:lvlOverride w:ilvl="0">
      <w:startOverride w:val="1"/>
    </w:lvlOverride>
  </w:num>
  <w:num w:numId="3">
    <w:abstractNumId w:val="4"/>
  </w:num>
  <w:num w:numId="4">
    <w:abstractNumId w:val="11"/>
  </w:num>
  <w:num w:numId="5">
    <w:abstractNumId w:val="14"/>
  </w:num>
  <w:num w:numId="6">
    <w:abstractNumId w:val="29"/>
  </w:num>
  <w:num w:numId="7">
    <w:abstractNumId w:val="17"/>
  </w:num>
  <w:num w:numId="8">
    <w:abstractNumId w:val="8"/>
  </w:num>
  <w:num w:numId="9">
    <w:abstractNumId w:val="1"/>
  </w:num>
  <w:num w:numId="10">
    <w:abstractNumId w:val="34"/>
  </w:num>
  <w:num w:numId="11">
    <w:abstractNumId w:val="24"/>
  </w:num>
  <w:num w:numId="12">
    <w:abstractNumId w:val="32"/>
  </w:num>
  <w:num w:numId="13">
    <w:abstractNumId w:val="18"/>
  </w:num>
  <w:num w:numId="14">
    <w:abstractNumId w:val="19"/>
  </w:num>
  <w:num w:numId="15">
    <w:abstractNumId w:val="22"/>
  </w:num>
  <w:num w:numId="16">
    <w:abstractNumId w:val="6"/>
  </w:num>
  <w:num w:numId="17">
    <w:abstractNumId w:val="0"/>
  </w:num>
  <w:num w:numId="18">
    <w:abstractNumId w:val="25"/>
  </w:num>
  <w:num w:numId="19">
    <w:abstractNumId w:val="31"/>
  </w:num>
  <w:num w:numId="20">
    <w:abstractNumId w:val="23"/>
  </w:num>
  <w:num w:numId="21">
    <w:abstractNumId w:val="35"/>
  </w:num>
  <w:num w:numId="22">
    <w:abstractNumId w:val="28"/>
  </w:num>
  <w:num w:numId="23">
    <w:abstractNumId w:val="9"/>
  </w:num>
  <w:num w:numId="24">
    <w:abstractNumId w:val="15"/>
  </w:num>
  <w:num w:numId="25">
    <w:abstractNumId w:val="13"/>
  </w:num>
  <w:num w:numId="26">
    <w:abstractNumId w:val="3"/>
  </w:num>
  <w:num w:numId="27">
    <w:abstractNumId w:val="7"/>
  </w:num>
  <w:num w:numId="28">
    <w:abstractNumId w:val="16"/>
  </w:num>
  <w:num w:numId="29">
    <w:abstractNumId w:val="2"/>
  </w:num>
  <w:num w:numId="30">
    <w:abstractNumId w:val="33"/>
  </w:num>
  <w:num w:numId="31">
    <w:abstractNumId w:val="20"/>
  </w:num>
  <w:num w:numId="32">
    <w:abstractNumId w:val="26"/>
  </w:num>
  <w:num w:numId="33">
    <w:abstractNumId w:val="30"/>
  </w:num>
  <w:num w:numId="34">
    <w:abstractNumId w:val="12"/>
  </w:num>
  <w:num w:numId="35">
    <w:abstractNumId w:val="5"/>
  </w:num>
  <w:num w:numId="36">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A7081"/>
    <w:rsid w:val="00005C05"/>
    <w:rsid w:val="00022D1B"/>
    <w:rsid w:val="000313E5"/>
    <w:rsid w:val="00052B84"/>
    <w:rsid w:val="0005770C"/>
    <w:rsid w:val="0008192E"/>
    <w:rsid w:val="00085F12"/>
    <w:rsid w:val="000A24F2"/>
    <w:rsid w:val="000F01F1"/>
    <w:rsid w:val="000F43ED"/>
    <w:rsid w:val="00116B4D"/>
    <w:rsid w:val="00117400"/>
    <w:rsid w:val="00132765"/>
    <w:rsid w:val="00135DE8"/>
    <w:rsid w:val="00143458"/>
    <w:rsid w:val="001E5CA0"/>
    <w:rsid w:val="00244B68"/>
    <w:rsid w:val="00271447"/>
    <w:rsid w:val="0029773D"/>
    <w:rsid w:val="002A051D"/>
    <w:rsid w:val="002A7081"/>
    <w:rsid w:val="002B0252"/>
    <w:rsid w:val="002B1F9D"/>
    <w:rsid w:val="002B5E8C"/>
    <w:rsid w:val="002D0A7D"/>
    <w:rsid w:val="00323240"/>
    <w:rsid w:val="003A44FC"/>
    <w:rsid w:val="003A7207"/>
    <w:rsid w:val="003B5717"/>
    <w:rsid w:val="00410FDF"/>
    <w:rsid w:val="0043553C"/>
    <w:rsid w:val="004378C5"/>
    <w:rsid w:val="0044160B"/>
    <w:rsid w:val="0047794D"/>
    <w:rsid w:val="00486337"/>
    <w:rsid w:val="004E216D"/>
    <w:rsid w:val="0052366E"/>
    <w:rsid w:val="00536AE9"/>
    <w:rsid w:val="0055364B"/>
    <w:rsid w:val="00554855"/>
    <w:rsid w:val="00556AE6"/>
    <w:rsid w:val="00570B62"/>
    <w:rsid w:val="005B37F7"/>
    <w:rsid w:val="005D1643"/>
    <w:rsid w:val="005D2F9F"/>
    <w:rsid w:val="005F0FE0"/>
    <w:rsid w:val="005F5135"/>
    <w:rsid w:val="00610CFB"/>
    <w:rsid w:val="00677012"/>
    <w:rsid w:val="00694FD4"/>
    <w:rsid w:val="00696CD9"/>
    <w:rsid w:val="006C6381"/>
    <w:rsid w:val="006F20B9"/>
    <w:rsid w:val="006F447C"/>
    <w:rsid w:val="00722E5B"/>
    <w:rsid w:val="00723169"/>
    <w:rsid w:val="007570A3"/>
    <w:rsid w:val="00762BA0"/>
    <w:rsid w:val="00782C37"/>
    <w:rsid w:val="007A5CAC"/>
    <w:rsid w:val="007D238B"/>
    <w:rsid w:val="007D79AF"/>
    <w:rsid w:val="007F0247"/>
    <w:rsid w:val="00847AEC"/>
    <w:rsid w:val="00887B03"/>
    <w:rsid w:val="00941D8E"/>
    <w:rsid w:val="009B6465"/>
    <w:rsid w:val="009D7DFB"/>
    <w:rsid w:val="009E520F"/>
    <w:rsid w:val="00A04CDE"/>
    <w:rsid w:val="00A05AED"/>
    <w:rsid w:val="00A10E74"/>
    <w:rsid w:val="00A76B0D"/>
    <w:rsid w:val="00A9422F"/>
    <w:rsid w:val="00AA1B61"/>
    <w:rsid w:val="00AB103D"/>
    <w:rsid w:val="00AC3A47"/>
    <w:rsid w:val="00AD5D78"/>
    <w:rsid w:val="00AE7D9B"/>
    <w:rsid w:val="00B026B9"/>
    <w:rsid w:val="00B06E68"/>
    <w:rsid w:val="00B365C4"/>
    <w:rsid w:val="00B36900"/>
    <w:rsid w:val="00B7284B"/>
    <w:rsid w:val="00BC56FA"/>
    <w:rsid w:val="00BD074C"/>
    <w:rsid w:val="00BE17F9"/>
    <w:rsid w:val="00BE1E47"/>
    <w:rsid w:val="00BE2159"/>
    <w:rsid w:val="00BE257D"/>
    <w:rsid w:val="00C0145D"/>
    <w:rsid w:val="00C1603C"/>
    <w:rsid w:val="00C331ED"/>
    <w:rsid w:val="00C67332"/>
    <w:rsid w:val="00C73C05"/>
    <w:rsid w:val="00C86F87"/>
    <w:rsid w:val="00CD0BA4"/>
    <w:rsid w:val="00CF6336"/>
    <w:rsid w:val="00D1759E"/>
    <w:rsid w:val="00D51F4A"/>
    <w:rsid w:val="00D6199F"/>
    <w:rsid w:val="00D77EA3"/>
    <w:rsid w:val="00DB62A5"/>
    <w:rsid w:val="00DD3210"/>
    <w:rsid w:val="00E13043"/>
    <w:rsid w:val="00E54DC8"/>
    <w:rsid w:val="00E60875"/>
    <w:rsid w:val="00E8011E"/>
    <w:rsid w:val="00EA3F05"/>
    <w:rsid w:val="00EC5B23"/>
    <w:rsid w:val="00F86C56"/>
    <w:rsid w:val="00FC4D79"/>
    <w:rsid w:val="00FE7DBA"/>
    <w:rsid w:val="00FF6225"/>
    <w:rsid w:val="00FF677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22B4B838-B3F8-4318-9288-5A153F11B3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color w:val="1B2733"/>
        <w:sz w:val="21"/>
        <w:szCs w:val="21"/>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D238B"/>
  </w:style>
  <w:style w:type="paragraph" w:styleId="Heading1">
    <w:name w:val="heading 1"/>
    <w:link w:val="Heading1Char"/>
    <w:uiPriority w:val="9"/>
    <w:qFormat/>
    <w:pPr>
      <w:outlineLvl w:val="0"/>
    </w:pPr>
    <w:rPr>
      <w:b/>
      <w:bCs/>
      <w:color w:val="0A4A7A"/>
      <w:sz w:val="30"/>
      <w:szCs w:val="30"/>
    </w:rPr>
  </w:style>
  <w:style w:type="paragraph" w:styleId="Heading2">
    <w:name w:val="heading 2"/>
    <w:link w:val="Heading2Char"/>
    <w:uiPriority w:val="9"/>
    <w:unhideWhenUsed/>
    <w:qFormat/>
    <w:pPr>
      <w:outlineLvl w:val="1"/>
    </w:pPr>
    <w:rPr>
      <w:b/>
      <w:bCs/>
      <w:color w:val="0B639C"/>
      <w:sz w:val="25"/>
      <w:szCs w:val="25"/>
    </w:rPr>
  </w:style>
  <w:style w:type="paragraph" w:styleId="Heading3">
    <w:name w:val="heading 3"/>
    <w:link w:val="Heading3Char"/>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9D7DFB"/>
    <w:pPr>
      <w:tabs>
        <w:tab w:val="center" w:pos="4513"/>
        <w:tab w:val="right" w:pos="9026"/>
      </w:tabs>
    </w:pPr>
  </w:style>
  <w:style w:type="character" w:customStyle="1" w:styleId="HeaderChar">
    <w:name w:val="Header Char"/>
    <w:basedOn w:val="DefaultParagraphFont"/>
    <w:link w:val="Header"/>
    <w:uiPriority w:val="99"/>
    <w:rsid w:val="009D7DFB"/>
  </w:style>
  <w:style w:type="paragraph" w:styleId="Footer">
    <w:name w:val="footer"/>
    <w:basedOn w:val="Normal"/>
    <w:link w:val="FooterChar"/>
    <w:uiPriority w:val="99"/>
    <w:unhideWhenUsed/>
    <w:rsid w:val="009D7DFB"/>
    <w:pPr>
      <w:tabs>
        <w:tab w:val="center" w:pos="4513"/>
        <w:tab w:val="right" w:pos="9026"/>
      </w:tabs>
    </w:pPr>
  </w:style>
  <w:style w:type="character" w:customStyle="1" w:styleId="FooterChar">
    <w:name w:val="Footer Char"/>
    <w:basedOn w:val="DefaultParagraphFont"/>
    <w:link w:val="Footer"/>
    <w:uiPriority w:val="99"/>
    <w:rsid w:val="009D7DFB"/>
  </w:style>
  <w:style w:type="character" w:customStyle="1" w:styleId="Heading1Char">
    <w:name w:val="Heading 1 Char"/>
    <w:basedOn w:val="DefaultParagraphFont"/>
    <w:link w:val="Heading1"/>
    <w:uiPriority w:val="9"/>
    <w:rsid w:val="00C1603C"/>
    <w:rPr>
      <w:b/>
      <w:bCs/>
      <w:color w:val="0A4A7A"/>
      <w:sz w:val="30"/>
      <w:szCs w:val="30"/>
    </w:rPr>
  </w:style>
  <w:style w:type="character" w:customStyle="1" w:styleId="Heading2Char">
    <w:name w:val="Heading 2 Char"/>
    <w:basedOn w:val="DefaultParagraphFont"/>
    <w:link w:val="Heading2"/>
    <w:uiPriority w:val="9"/>
    <w:rsid w:val="007D238B"/>
    <w:rPr>
      <w:b/>
      <w:bCs/>
      <w:color w:val="0B639C"/>
      <w:sz w:val="25"/>
      <w:szCs w:val="25"/>
    </w:rPr>
  </w:style>
  <w:style w:type="paragraph" w:styleId="NormalWeb">
    <w:name w:val="Normal (Web)"/>
    <w:basedOn w:val="Normal"/>
    <w:uiPriority w:val="99"/>
    <w:unhideWhenUsed/>
    <w:rsid w:val="00116B4D"/>
    <w:pPr>
      <w:spacing w:before="100" w:beforeAutospacing="1" w:after="100" w:afterAutospacing="1"/>
    </w:pPr>
    <w:rPr>
      <w:rFonts w:ascii="Times New Roman" w:eastAsia="Times New Roman" w:hAnsi="Times New Roman" w:cs="Times New Roman"/>
      <w:color w:val="auto"/>
      <w:sz w:val="24"/>
      <w:szCs w:val="24"/>
    </w:rPr>
  </w:style>
  <w:style w:type="character" w:styleId="HTMLCode">
    <w:name w:val="HTML Code"/>
    <w:basedOn w:val="DefaultParagraphFont"/>
    <w:uiPriority w:val="99"/>
    <w:semiHidden/>
    <w:unhideWhenUsed/>
    <w:rsid w:val="0052366E"/>
    <w:rPr>
      <w:rFonts w:ascii="Courier New" w:eastAsia="Times New Roman" w:hAnsi="Courier New" w:cs="Courier New"/>
      <w:sz w:val="20"/>
      <w:szCs w:val="20"/>
    </w:rPr>
  </w:style>
  <w:style w:type="character" w:styleId="Strong">
    <w:name w:val="Strong"/>
    <w:basedOn w:val="DefaultParagraphFont"/>
    <w:uiPriority w:val="22"/>
    <w:qFormat/>
    <w:rsid w:val="00941D8E"/>
    <w:rPr>
      <w:b/>
      <w:bCs/>
    </w:rPr>
  </w:style>
  <w:style w:type="character" w:customStyle="1" w:styleId="Heading3Char">
    <w:name w:val="Heading 3 Char"/>
    <w:basedOn w:val="DefaultParagraphFont"/>
    <w:link w:val="Heading3"/>
    <w:uiPriority w:val="9"/>
    <w:semiHidden/>
    <w:rsid w:val="00941D8E"/>
    <w:rPr>
      <w:color w:val="1F4D78"/>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57712880">
      <w:bodyDiv w:val="1"/>
      <w:marLeft w:val="0"/>
      <w:marRight w:val="0"/>
      <w:marTop w:val="0"/>
      <w:marBottom w:val="0"/>
      <w:divBdr>
        <w:top w:val="none" w:sz="0" w:space="0" w:color="auto"/>
        <w:left w:val="none" w:sz="0" w:space="0" w:color="auto"/>
        <w:bottom w:val="none" w:sz="0" w:space="0" w:color="auto"/>
        <w:right w:val="none" w:sz="0" w:space="0" w:color="auto"/>
      </w:divBdr>
    </w:div>
    <w:div w:id="83434762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46EB3C-DFEE-4D41-A8EB-A0251B84C2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43</Pages>
  <Words>10273</Words>
  <Characters>58560</Characters>
  <Application>Microsoft Office Word</Application>
  <DocSecurity>0</DocSecurity>
  <Lines>488</Lines>
  <Paragraphs>137</Paragraphs>
  <ScaleCrop>false</ScaleCrop>
  <HeadingPairs>
    <vt:vector size="2" baseType="variant">
      <vt:variant>
        <vt:lpstr>Title</vt:lpstr>
      </vt:variant>
      <vt:variant>
        <vt:i4>1</vt:i4>
      </vt:variant>
    </vt:vector>
  </HeadingPairs>
  <TitlesOfParts>
    <vt:vector size="1" baseType="lpstr">
      <vt:lpstr>Milestone 3 Report — Advanced Threat Incident Analytics and Security Visualization Framework</vt:lpstr>
    </vt:vector>
  </TitlesOfParts>
  <Company/>
  <LinksUpToDate>false</LinksUpToDate>
  <CharactersWithSpaces>68696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Milestone 3 Report — Advanced Threat Incident Analytics and Security Visualization Framework</dc:title>
  <dc:creator>Infosys Springboard Virtual Internship 7.0</dc:creator>
  <dc:description>Milestone 3 project report</dc:description>
  <cp:lastModifiedBy>Microsoft account</cp:lastModifiedBy>
  <cp:revision>8</cp:revision>
  <dcterms:created xsi:type="dcterms:W3CDTF">2026-08-12T13:56:00Z</dcterms:created>
  <dcterms:modified xsi:type="dcterms:W3CDTF">2026-08-18T15:14:00Z</dcterms:modified>
</cp:coreProperties>
</file>