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C4BD8"/>
    <w:p w:rsidR="005D311B" w:rsidRDefault="005D311B"/>
    <w:p w:rsidR="005D311B" w:rsidRDefault="005D311B"/>
    <w:p w:rsidR="005D311B" w:rsidRDefault="005D311B" w:rsidP="005D311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D311B" w:rsidRDefault="00EC4BD8" w:rsidP="005D311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MD AR</w:t>
      </w:r>
      <w:r w:rsidR="005D311B">
        <w:rPr>
          <w:rFonts w:ascii="Arial" w:hAnsi="Arial" w:cs="Arial"/>
          <w:b/>
          <w:bCs/>
          <w:color w:val="000000"/>
        </w:rPr>
        <w:t>SHAD                                                                    AGE/SEX : 27Y/M</w:t>
      </w:r>
    </w:p>
    <w:p w:rsidR="005D311B" w:rsidRDefault="005D311B" w:rsidP="005D311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28/02/2019                                                                           UHID : 90316</w:t>
      </w:r>
    </w:p>
    <w:p w:rsidR="005D311B" w:rsidRDefault="005D311B" w:rsidP="005D311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D311B" w:rsidRDefault="005D311B" w:rsidP="005D311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lung fields show no active parenchymal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5D311B" w:rsidRDefault="005D311B" w:rsidP="005D311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costophrenic angles are clear.</w:t>
      </w:r>
    </w:p>
    <w:p w:rsidR="005D311B" w:rsidRDefault="005D311B" w:rsidP="005D311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5D311B" w:rsidRDefault="005D311B" w:rsidP="005D311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D311B" w:rsidRDefault="005D311B" w:rsidP="005D311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5D311B" w:rsidRDefault="005D311B" w:rsidP="005D311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Suggested : Clinical correlation     </w:t>
      </w:r>
    </w:p>
    <w:p w:rsidR="005D311B" w:rsidRDefault="005D311B"/>
    <w:sectPr w:rsidR="005D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D311B"/>
    <w:rsid w:val="005D311B"/>
    <w:rsid w:val="00EC4B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3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50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2019-03-01T05:37:00Z</dcterms:created>
  <dcterms:modified xsi:type="dcterms:W3CDTF">2019-03-01T05:37:00Z</dcterms:modified>
</cp:coreProperties>
</file>