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8C9FC" w14:textId="77777777" w:rsidR="00E515B6" w:rsidRDefault="00000000">
      <w:pPr>
        <w:spacing w:after="120"/>
        <w:jc w:val="center"/>
      </w:pPr>
      <w:proofErr w:type="spellStart"/>
      <w:r>
        <w:rPr>
          <w:sz w:val="48"/>
          <w:szCs w:val="48"/>
        </w:rPr>
        <w:t>PromptBench</w:t>
      </w:r>
      <w:proofErr w:type="spellEnd"/>
      <w:r>
        <w:rPr>
          <w:sz w:val="48"/>
          <w:szCs w:val="48"/>
        </w:rPr>
        <w:t>: A Smart Framework for Prompt Testing and Response Evaluation</w:t>
      </w:r>
    </w:p>
    <w:p w14:paraId="73E99738" w14:textId="77777777" w:rsidR="00E515B6" w:rsidRDefault="00E515B6">
      <w:pPr>
        <w:sectPr w:rsidR="00E515B6">
          <w:footerReference w:type="default" r:id="rId7"/>
          <w:footerReference w:type="first" r:id="rId8"/>
          <w:pgSz w:w="11906" w:h="16838"/>
          <w:pgMar w:top="540" w:right="893" w:bottom="1440" w:left="893" w:header="720" w:footer="720" w:gutter="0"/>
          <w:cols w:space="720"/>
          <w:titlePg/>
          <w:docGrid w:linePitch="360"/>
        </w:sectPr>
      </w:pPr>
    </w:p>
    <w:p w14:paraId="635B34E8" w14:textId="77777777" w:rsidR="00E515B6" w:rsidRDefault="00000000">
      <w:pPr>
        <w:spacing w:before="240" w:after="40"/>
        <w:jc w:val="center"/>
      </w:pPr>
      <w:r>
        <w:rPr>
          <w:sz w:val="22"/>
          <w:szCs w:val="22"/>
        </w:rPr>
        <w:t>P. Bindu</w:t>
      </w:r>
    </w:p>
    <w:p w14:paraId="3D0981F9" w14:textId="61BB46A7" w:rsidR="00E515B6" w:rsidRDefault="00000000">
      <w:pPr>
        <w:jc w:val="center"/>
      </w:pPr>
      <w:r>
        <w:rPr>
          <w:i/>
          <w:iCs/>
          <w:sz w:val="18"/>
          <w:szCs w:val="18"/>
        </w:rPr>
        <w:t xml:space="preserve">dept. of </w:t>
      </w:r>
      <w:r>
        <w:rPr>
          <w:i/>
          <w:iCs/>
          <w:sz w:val="18"/>
          <w:szCs w:val="18"/>
          <w:highlight w:val="yellow"/>
        </w:rPr>
        <w:t>[</w:t>
      </w:r>
      <w:r w:rsidR="008E6983">
        <w:rPr>
          <w:i/>
          <w:iCs/>
          <w:sz w:val="18"/>
          <w:szCs w:val="18"/>
          <w:highlight w:val="yellow"/>
        </w:rPr>
        <w:t>CSIT</w:t>
      </w:r>
      <w:r>
        <w:rPr>
          <w:i/>
          <w:iCs/>
          <w:sz w:val="18"/>
          <w:szCs w:val="18"/>
          <w:highlight w:val="yellow"/>
        </w:rPr>
        <w:t>]</w:t>
      </w:r>
    </w:p>
    <w:p w14:paraId="30CBF132" w14:textId="5C694817" w:rsidR="00E515B6" w:rsidRDefault="00000000">
      <w:pPr>
        <w:jc w:val="center"/>
      </w:pPr>
      <w:r>
        <w:rPr>
          <w:i/>
          <w:iCs/>
          <w:sz w:val="18"/>
          <w:szCs w:val="18"/>
          <w:highlight w:val="yellow"/>
        </w:rPr>
        <w:t>[</w:t>
      </w:r>
      <w:r w:rsidR="008E6983">
        <w:rPr>
          <w:i/>
          <w:iCs/>
          <w:sz w:val="18"/>
          <w:szCs w:val="18"/>
          <w:highlight w:val="yellow"/>
        </w:rPr>
        <w:t>KL University</w:t>
      </w:r>
      <w:r>
        <w:rPr>
          <w:i/>
          <w:iCs/>
          <w:sz w:val="18"/>
          <w:szCs w:val="18"/>
          <w:highlight w:val="yellow"/>
        </w:rPr>
        <w:t>]</w:t>
      </w:r>
    </w:p>
    <w:p w14:paraId="1AF0C66F" w14:textId="77777777" w:rsidR="00E515B6" w:rsidRDefault="00000000">
      <w:pPr>
        <w:jc w:val="center"/>
      </w:pPr>
      <w:r>
        <w:rPr>
          <w:sz w:val="18"/>
          <w:szCs w:val="18"/>
        </w:rPr>
        <w:t>Hyderabad, India</w:t>
      </w:r>
    </w:p>
    <w:p w14:paraId="21F95DCD" w14:textId="77777777" w:rsidR="00E515B6" w:rsidRDefault="00000000">
      <w:pPr>
        <w:jc w:val="center"/>
      </w:pPr>
      <w:r>
        <w:rPr>
          <w:sz w:val="18"/>
          <w:szCs w:val="18"/>
        </w:rPr>
        <w:t>Roll No. 2420090092</w:t>
      </w:r>
    </w:p>
    <w:p w14:paraId="76905444" w14:textId="04DC719F" w:rsidR="00E515B6" w:rsidRDefault="00000000">
      <w:pPr>
        <w:jc w:val="center"/>
      </w:pPr>
      <w:r>
        <w:rPr>
          <w:sz w:val="18"/>
          <w:szCs w:val="18"/>
          <w:highlight w:val="yellow"/>
        </w:rPr>
        <w:t>[</w:t>
      </w:r>
      <w:r w:rsidR="008E6983">
        <w:rPr>
          <w:sz w:val="18"/>
          <w:szCs w:val="18"/>
          <w:highlight w:val="yellow"/>
        </w:rPr>
        <w:t>2420090092@klh.edu.in</w:t>
      </w:r>
      <w:r>
        <w:rPr>
          <w:sz w:val="18"/>
          <w:szCs w:val="18"/>
          <w:highlight w:val="yellow"/>
        </w:rPr>
        <w:t>]</w:t>
      </w:r>
    </w:p>
    <w:p w14:paraId="19FDA9E5" w14:textId="77777777" w:rsidR="00E515B6" w:rsidRDefault="00000000">
      <w:pPr>
        <w:spacing w:before="240" w:after="40"/>
        <w:jc w:val="center"/>
      </w:pPr>
      <w:r>
        <w:br w:type="column"/>
      </w:r>
      <w:r>
        <w:rPr>
          <w:sz w:val="22"/>
          <w:szCs w:val="22"/>
        </w:rPr>
        <w:t xml:space="preserve">K. </w:t>
      </w:r>
      <w:proofErr w:type="spellStart"/>
      <w:r>
        <w:rPr>
          <w:sz w:val="22"/>
          <w:szCs w:val="22"/>
        </w:rPr>
        <w:t>Druvitha</w:t>
      </w:r>
      <w:proofErr w:type="spellEnd"/>
    </w:p>
    <w:p w14:paraId="336B6CF7" w14:textId="4A4C48F7" w:rsidR="00E515B6" w:rsidRDefault="00000000">
      <w:pPr>
        <w:jc w:val="center"/>
      </w:pPr>
      <w:r>
        <w:rPr>
          <w:i/>
          <w:iCs/>
          <w:sz w:val="18"/>
          <w:szCs w:val="18"/>
        </w:rPr>
        <w:t xml:space="preserve">dept. of </w:t>
      </w:r>
      <w:r>
        <w:rPr>
          <w:i/>
          <w:iCs/>
          <w:sz w:val="18"/>
          <w:szCs w:val="18"/>
          <w:highlight w:val="yellow"/>
        </w:rPr>
        <w:t>[</w:t>
      </w:r>
      <w:r w:rsidR="008E6983">
        <w:rPr>
          <w:i/>
          <w:iCs/>
          <w:sz w:val="18"/>
          <w:szCs w:val="18"/>
          <w:highlight w:val="yellow"/>
        </w:rPr>
        <w:t>CSE</w:t>
      </w:r>
      <w:r>
        <w:rPr>
          <w:i/>
          <w:iCs/>
          <w:sz w:val="18"/>
          <w:szCs w:val="18"/>
          <w:highlight w:val="yellow"/>
        </w:rPr>
        <w:t>]</w:t>
      </w:r>
    </w:p>
    <w:p w14:paraId="3B40111A" w14:textId="59BA1993" w:rsidR="00E515B6" w:rsidRDefault="00000000">
      <w:pPr>
        <w:jc w:val="center"/>
      </w:pPr>
      <w:r>
        <w:rPr>
          <w:i/>
          <w:iCs/>
          <w:sz w:val="18"/>
          <w:szCs w:val="18"/>
          <w:highlight w:val="yellow"/>
        </w:rPr>
        <w:t>[</w:t>
      </w:r>
      <w:r w:rsidR="008E6983">
        <w:rPr>
          <w:i/>
          <w:iCs/>
          <w:sz w:val="18"/>
          <w:szCs w:val="18"/>
          <w:highlight w:val="yellow"/>
        </w:rPr>
        <w:t>KL University</w:t>
      </w:r>
      <w:r>
        <w:rPr>
          <w:i/>
          <w:iCs/>
          <w:sz w:val="18"/>
          <w:szCs w:val="18"/>
          <w:highlight w:val="yellow"/>
        </w:rPr>
        <w:t>]</w:t>
      </w:r>
    </w:p>
    <w:p w14:paraId="23DCF654" w14:textId="77777777" w:rsidR="00E515B6" w:rsidRDefault="00000000">
      <w:pPr>
        <w:jc w:val="center"/>
      </w:pPr>
      <w:r>
        <w:rPr>
          <w:sz w:val="18"/>
          <w:szCs w:val="18"/>
        </w:rPr>
        <w:t>Hyderabad, India</w:t>
      </w:r>
    </w:p>
    <w:p w14:paraId="6EE2ACDC" w14:textId="77777777" w:rsidR="00E515B6" w:rsidRDefault="00000000">
      <w:pPr>
        <w:jc w:val="center"/>
      </w:pPr>
      <w:r>
        <w:rPr>
          <w:sz w:val="18"/>
          <w:szCs w:val="18"/>
        </w:rPr>
        <w:t>Roll No. 2420030557</w:t>
      </w:r>
    </w:p>
    <w:p w14:paraId="090E648B" w14:textId="4FEB17B1" w:rsidR="00E515B6" w:rsidRDefault="00000000">
      <w:pPr>
        <w:jc w:val="center"/>
      </w:pPr>
      <w:r>
        <w:rPr>
          <w:sz w:val="18"/>
          <w:szCs w:val="18"/>
          <w:highlight w:val="yellow"/>
        </w:rPr>
        <w:t>[</w:t>
      </w:r>
      <w:r w:rsidR="008E6983">
        <w:rPr>
          <w:sz w:val="18"/>
          <w:szCs w:val="18"/>
          <w:highlight w:val="yellow"/>
        </w:rPr>
        <w:t>2420030557@klh.edu.in</w:t>
      </w:r>
      <w:r>
        <w:rPr>
          <w:sz w:val="18"/>
          <w:szCs w:val="18"/>
          <w:highlight w:val="yellow"/>
        </w:rPr>
        <w:t>]</w:t>
      </w:r>
    </w:p>
    <w:p w14:paraId="0833DC46" w14:textId="77777777" w:rsidR="00E515B6" w:rsidRDefault="00000000">
      <w:pPr>
        <w:spacing w:before="240" w:after="40"/>
        <w:jc w:val="center"/>
      </w:pPr>
      <w:r>
        <w:br w:type="column"/>
      </w:r>
      <w:r>
        <w:rPr>
          <w:sz w:val="22"/>
          <w:szCs w:val="22"/>
        </w:rPr>
        <w:t>B. Priyamvada</w:t>
      </w:r>
    </w:p>
    <w:p w14:paraId="4896309D" w14:textId="1030676D" w:rsidR="00E515B6" w:rsidRDefault="00000000">
      <w:pPr>
        <w:jc w:val="center"/>
      </w:pPr>
      <w:r>
        <w:rPr>
          <w:i/>
          <w:iCs/>
          <w:sz w:val="18"/>
          <w:szCs w:val="18"/>
        </w:rPr>
        <w:t xml:space="preserve">dept. of </w:t>
      </w:r>
      <w:r>
        <w:rPr>
          <w:i/>
          <w:iCs/>
          <w:sz w:val="18"/>
          <w:szCs w:val="18"/>
          <w:highlight w:val="yellow"/>
        </w:rPr>
        <w:t>[</w:t>
      </w:r>
      <w:r w:rsidR="008E6983">
        <w:rPr>
          <w:i/>
          <w:iCs/>
          <w:sz w:val="18"/>
          <w:szCs w:val="18"/>
          <w:highlight w:val="yellow"/>
        </w:rPr>
        <w:t>CSE</w:t>
      </w:r>
      <w:r>
        <w:rPr>
          <w:i/>
          <w:iCs/>
          <w:sz w:val="18"/>
          <w:szCs w:val="18"/>
          <w:highlight w:val="yellow"/>
        </w:rPr>
        <w:t>]</w:t>
      </w:r>
    </w:p>
    <w:p w14:paraId="44D3BFF1" w14:textId="601BC919" w:rsidR="00E515B6" w:rsidRDefault="00000000">
      <w:pPr>
        <w:jc w:val="center"/>
      </w:pPr>
      <w:r>
        <w:rPr>
          <w:i/>
          <w:iCs/>
          <w:sz w:val="18"/>
          <w:szCs w:val="18"/>
          <w:highlight w:val="yellow"/>
        </w:rPr>
        <w:t>[</w:t>
      </w:r>
      <w:r w:rsidR="008E6983">
        <w:rPr>
          <w:i/>
          <w:iCs/>
          <w:sz w:val="18"/>
          <w:szCs w:val="18"/>
          <w:highlight w:val="yellow"/>
        </w:rPr>
        <w:t>KL University</w:t>
      </w:r>
      <w:r>
        <w:rPr>
          <w:i/>
          <w:iCs/>
          <w:sz w:val="18"/>
          <w:szCs w:val="18"/>
          <w:highlight w:val="yellow"/>
        </w:rPr>
        <w:t>]</w:t>
      </w:r>
    </w:p>
    <w:p w14:paraId="0A775047" w14:textId="77777777" w:rsidR="00E515B6" w:rsidRDefault="00000000">
      <w:pPr>
        <w:jc w:val="center"/>
      </w:pPr>
      <w:r>
        <w:rPr>
          <w:sz w:val="18"/>
          <w:szCs w:val="18"/>
        </w:rPr>
        <w:t>Hyderabad, India</w:t>
      </w:r>
    </w:p>
    <w:p w14:paraId="1E4F7176" w14:textId="77777777" w:rsidR="00E515B6" w:rsidRDefault="00000000">
      <w:pPr>
        <w:jc w:val="center"/>
      </w:pPr>
      <w:r>
        <w:rPr>
          <w:sz w:val="18"/>
          <w:szCs w:val="18"/>
        </w:rPr>
        <w:t>Roll No. 2420030495</w:t>
      </w:r>
    </w:p>
    <w:p w14:paraId="68C08226" w14:textId="24022309" w:rsidR="00E515B6" w:rsidRDefault="00000000">
      <w:pPr>
        <w:jc w:val="center"/>
      </w:pPr>
      <w:r>
        <w:rPr>
          <w:sz w:val="18"/>
          <w:szCs w:val="18"/>
          <w:highlight w:val="yellow"/>
        </w:rPr>
        <w:t>[</w:t>
      </w:r>
      <w:r w:rsidR="008E6983">
        <w:rPr>
          <w:sz w:val="18"/>
          <w:szCs w:val="18"/>
          <w:highlight w:val="yellow"/>
        </w:rPr>
        <w:t>2420030495@klh.edu.in</w:t>
      </w:r>
      <w:r>
        <w:rPr>
          <w:sz w:val="18"/>
          <w:szCs w:val="18"/>
          <w:highlight w:val="yellow"/>
        </w:rPr>
        <w:t>]</w:t>
      </w:r>
    </w:p>
    <w:p w14:paraId="3C4DD42E" w14:textId="77777777" w:rsidR="00E515B6" w:rsidRDefault="00E515B6">
      <w:pPr>
        <w:sectPr w:rsidR="00E515B6">
          <w:type w:val="continuous"/>
          <w:pgSz w:w="11906" w:h="16838"/>
          <w:pgMar w:top="540" w:right="893" w:bottom="1440" w:left="893" w:header="720" w:footer="720" w:gutter="0"/>
          <w:cols w:num="3" w:space="720"/>
          <w:docGrid w:linePitch="360"/>
        </w:sectPr>
      </w:pPr>
    </w:p>
    <w:p w14:paraId="10D1C387" w14:textId="77777777" w:rsidR="00E515B6" w:rsidRDefault="00000000">
      <w:pPr>
        <w:spacing w:before="120" w:after="200"/>
        <w:ind w:firstLine="272"/>
        <w:jc w:val="both"/>
      </w:pPr>
      <w:r>
        <w:rPr>
          <w:b/>
          <w:bCs/>
          <w:i/>
          <w:iCs/>
          <w:sz w:val="18"/>
          <w:szCs w:val="18"/>
        </w:rPr>
        <w:t>Abstract</w:t>
      </w:r>
      <w:r>
        <w:rPr>
          <w:b/>
          <w:bCs/>
          <w:sz w:val="18"/>
          <w:szCs w:val="18"/>
        </w:rPr>
        <w:t xml:space="preserve"> — Developers building on large language models (LLMs) often need to know which provider works best for a given prompt in terms of quality, speed and cost. Today that usually means pasting the prompt into several provider consoles by hand, which is messy, hard to repeat and does not scale. In this paper we present </w:t>
      </w:r>
      <w:proofErr w:type="spellStart"/>
      <w:r>
        <w:rPr>
          <w:b/>
          <w:bCs/>
          <w:sz w:val="18"/>
          <w:szCs w:val="18"/>
        </w:rPr>
        <w:t>PromptBench</w:t>
      </w:r>
      <w:proofErr w:type="spellEnd"/>
      <w:r>
        <w:rPr>
          <w:b/>
          <w:bCs/>
          <w:sz w:val="18"/>
          <w:szCs w:val="18"/>
        </w:rPr>
        <w:t xml:space="preserve">, a full-stack, object-oriented web application built with TypeScript and Next.js. It sends one prompt to several providers, currently Google Gemini and </w:t>
      </w:r>
      <w:proofErr w:type="spellStart"/>
      <w:r>
        <w:rPr>
          <w:b/>
          <w:bCs/>
          <w:sz w:val="18"/>
          <w:szCs w:val="18"/>
        </w:rPr>
        <w:t>Groq</w:t>
      </w:r>
      <w:proofErr w:type="spellEnd"/>
      <w:r>
        <w:rPr>
          <w:b/>
          <w:bCs/>
          <w:sz w:val="18"/>
          <w:szCs w:val="18"/>
        </w:rPr>
        <w:t xml:space="preserve">-hosted Llama models, and records each response along with its token usage, latency and estimated cost, which are shown side by side in an interactive dashboard. Provider-specific details are hidden behind a single polymorphic calling interface, so a new provider can be added by implementing a small contract and leaving the calling code untouched. Shared TypeScript interfaces keep the data format consistent across the frontend, backend and evaluation layers. To judge quality, </w:t>
      </w:r>
      <w:proofErr w:type="spellStart"/>
      <w:r>
        <w:rPr>
          <w:b/>
          <w:bCs/>
          <w:sz w:val="18"/>
          <w:szCs w:val="18"/>
        </w:rPr>
        <w:t>PromptBench</w:t>
      </w:r>
      <w:proofErr w:type="spellEnd"/>
      <w:r>
        <w:rPr>
          <w:b/>
          <w:bCs/>
          <w:sz w:val="18"/>
          <w:szCs w:val="18"/>
        </w:rPr>
        <w:t xml:space="preserve"> uses an LLM-as-judge grader with a general rubric, and a reference-based factuality grader that computes accuracy over a batch dataset of question–answer pairs. Every run, score and batch result is saved in a structured local store so that evaluations can be compared over time. The whole system runs on free API tiers, which makes it easy to reproduce, and it shows how object-oriented principles apply to multi-provider AI development.</w:t>
      </w:r>
    </w:p>
    <w:p w14:paraId="5A46CB36" w14:textId="77777777" w:rsidR="00E515B6" w:rsidRDefault="00000000">
      <w:pPr>
        <w:spacing w:after="120"/>
        <w:ind w:firstLine="274"/>
        <w:jc w:val="both"/>
      </w:pPr>
      <w:r>
        <w:rPr>
          <w:b/>
          <w:bCs/>
          <w:i/>
          <w:iCs/>
          <w:sz w:val="18"/>
          <w:szCs w:val="18"/>
        </w:rPr>
        <w:t>Keywords</w:t>
      </w:r>
      <w:r>
        <w:rPr>
          <w:i/>
          <w:iCs/>
          <w:sz w:val="18"/>
          <w:szCs w:val="18"/>
        </w:rPr>
        <w:t xml:space="preserve"> — large language models, prompt evaluation, LLM-as-judge, object-oriented design, polymorphism, model comparison, Next.js, TypeScript</w:t>
      </w:r>
    </w:p>
    <w:p w14:paraId="68EEC728" w14:textId="77777777" w:rsidR="00E515B6" w:rsidRDefault="00E515B6">
      <w:pPr>
        <w:sectPr w:rsidR="00E515B6">
          <w:type w:val="continuous"/>
          <w:pgSz w:w="11906" w:h="16838"/>
          <w:pgMar w:top="540" w:right="893" w:bottom="1440" w:left="893" w:header="720" w:footer="720" w:gutter="0"/>
          <w:cols w:space="720"/>
          <w:docGrid w:linePitch="360"/>
        </w:sectPr>
      </w:pPr>
    </w:p>
    <w:p w14:paraId="2B5B42FE" w14:textId="77777777" w:rsidR="00E515B6" w:rsidRDefault="00000000">
      <w:pPr>
        <w:pStyle w:val="Heading1"/>
      </w:pPr>
      <w:r>
        <w:t>I. INTRODUCTION</w:t>
      </w:r>
    </w:p>
    <w:p w14:paraId="6725CE9B" w14:textId="77777777" w:rsidR="00E515B6" w:rsidRDefault="00000000">
      <w:pPr>
        <w:spacing w:after="120" w:line="228" w:lineRule="auto"/>
        <w:ind w:firstLine="288"/>
        <w:jc w:val="both"/>
      </w:pPr>
      <w:r>
        <w:t xml:space="preserve">Large language models (LLMs) like GPT-3 [1], Gemini [2] and Llama [3] are now part of a lot of everyday software. People use them for question answering, summarizing text, writing code and building chatbots. The trouble is that </w:t>
      </w:r>
      <w:proofErr w:type="gramStart"/>
      <w:r>
        <w:t>no two</w:t>
      </w:r>
      <w:proofErr w:type="gramEnd"/>
      <w:r>
        <w:t xml:space="preserve"> providers behave the same way. Their answers differ in quality, they respond at different speeds, they charge different prices, and their APIs look nothing alike. Even for a single model, rewording a prompt a little can change the output a lot [4], [5]. </w:t>
      </w:r>
      <w:proofErr w:type="gramStart"/>
      <w:r>
        <w:t>So</w:t>
      </w:r>
      <w:proofErr w:type="gramEnd"/>
      <w:r>
        <w:t xml:space="preserve"> when a developer </w:t>
      </w:r>
      <w:proofErr w:type="gramStart"/>
      <w:r>
        <w:t>has to</w:t>
      </w:r>
      <w:proofErr w:type="gramEnd"/>
      <w:r>
        <w:t xml:space="preserve"> pick a provider for a task, the honest answer is usually “try it and see.”</w:t>
      </w:r>
    </w:p>
    <w:p w14:paraId="30740353" w14:textId="77777777" w:rsidR="00E515B6" w:rsidRDefault="00000000">
      <w:pPr>
        <w:spacing w:after="120" w:line="228" w:lineRule="auto"/>
        <w:ind w:firstLine="288"/>
        <w:jc w:val="both"/>
      </w:pPr>
      <w:r>
        <w:t>Trying it properly is harder than it sounds. Most developers paste the same prompt into several provider dashboards one after another and compare the answers by eye. That is slow, easy to get wrong and impossible to repeat later. The tools built for serious evaluation are not much better for this job: some are heavy, command-line benchmark frameworks meant for large offline studies [6], [7], and others are one-off scripts that keep no history and have no dashboard.</w:t>
      </w:r>
    </w:p>
    <w:p w14:paraId="6DB05A05" w14:textId="77777777" w:rsidR="00E515B6" w:rsidRDefault="00000000">
      <w:pPr>
        <w:spacing w:after="120" w:line="228" w:lineRule="auto"/>
        <w:ind w:firstLine="288"/>
        <w:jc w:val="both"/>
      </w:pPr>
      <w:r>
        <w:t xml:space="preserve">In this paper we present </w:t>
      </w:r>
      <w:proofErr w:type="spellStart"/>
      <w:r>
        <w:t>PromptBench</w:t>
      </w:r>
      <w:proofErr w:type="spellEnd"/>
      <w:r>
        <w:t>, a full-stack web application built with TypeScript and Next.js that tries to fill this gap. Our contributions are as follows: (1) an object-oriented design that puts several LLM provider APIs behind one common interface; (2) a dashboard that shows each model’s response, token usage, latency and cost side by side; (3) an LLM-as-judge evaluator that scores response quality, plus a reference-based grader that measures factual accuracy over a whole dataset; (4) saved test and batch history, so results can be compared over time; and (5) a setup that runs only on free API tiers, so anyone can reproduce it.</w:t>
      </w:r>
    </w:p>
    <w:p w14:paraId="217A6DFA" w14:textId="77777777" w:rsidR="00E515B6" w:rsidRDefault="00000000">
      <w:pPr>
        <w:spacing w:after="120" w:line="228" w:lineRule="auto"/>
        <w:ind w:firstLine="288"/>
        <w:jc w:val="both"/>
      </w:pPr>
      <w:r>
        <w:t>The paper is organized as follows. Section II covers related work, Section III explains the design and methodology, Section IV describes the environment and evaluation setup, Section V talks about limitations, and Section VI concludes.</w:t>
      </w:r>
    </w:p>
    <w:p w14:paraId="70D9C28B" w14:textId="77777777" w:rsidR="00E515B6" w:rsidRDefault="00000000">
      <w:pPr>
        <w:pStyle w:val="Heading1"/>
      </w:pPr>
      <w:r>
        <w:t>II. RELATED WORK</w:t>
      </w:r>
    </w:p>
    <w:p w14:paraId="6D094D92" w14:textId="77777777" w:rsidR="00E515B6" w:rsidRDefault="00000000">
      <w:pPr>
        <w:spacing w:after="120" w:line="228" w:lineRule="auto"/>
        <w:ind w:firstLine="288"/>
        <w:jc w:val="both"/>
      </w:pPr>
      <w:r>
        <w:rPr>
          <w:i/>
          <w:iCs/>
        </w:rPr>
        <w:t>Evaluation frameworks.</w:t>
      </w:r>
      <w:r>
        <w:t xml:space="preserve"> HELM evaluates language models across a broad range of scenarios and metrics [6], and the Language Model Evaluation Harness lets users run a model through many academic benchmarks from the command line [7]. A project with a similar name is the </w:t>
      </w:r>
      <w:proofErr w:type="spellStart"/>
      <w:r>
        <w:t>PromptBench</w:t>
      </w:r>
      <w:proofErr w:type="spellEnd"/>
      <w:r>
        <w:t xml:space="preserve"> library by Zhu et al., which began as a study of how robust LLMs are to adversarial prompts and has grown into a general Python library for evaluation [8]. Our system is a different thing. It is a web application for developers who want to compare providers on their own prompts, rather than a research library for robustness testing. Frameworks like these are very useful, but they are designed for large offline studies, not for quickly checking one prompt and looking at the results.</w:t>
      </w:r>
    </w:p>
    <w:p w14:paraId="18F1DCA4" w14:textId="77777777" w:rsidR="00E515B6" w:rsidRDefault="00000000">
      <w:pPr>
        <w:spacing w:after="120" w:line="228" w:lineRule="auto"/>
        <w:ind w:firstLine="288"/>
        <w:jc w:val="both"/>
      </w:pPr>
      <w:r>
        <w:rPr>
          <w:i/>
          <w:iCs/>
        </w:rPr>
        <w:t>LLM-as-judge.</w:t>
      </w:r>
      <w:r>
        <w:t xml:space="preserve"> Having people grade </w:t>
      </w:r>
      <w:proofErr w:type="gramStart"/>
      <w:r>
        <w:t>model outputs</w:t>
      </w:r>
      <w:proofErr w:type="gramEnd"/>
      <w:r>
        <w:t xml:space="preserve"> is expensive and slow, so a growing body of work asks a strong LLM to do the grading. Zheng et al. found that a judge model can agree with human preferences about as often as humans agree with each other, but they also point out biases, such as favoring longer answers, favoring the first answer shown, and favoring its own outputs [9]. G-Eval takes a related route: it gives the LLM task-specific criteria and gets scores that track human judgments better than older automatic metrics [10]. We use the same idea for general quality scoring, and for factual checks we add a reference </w:t>
      </w:r>
      <w:proofErr w:type="gramStart"/>
      <w:r>
        <w:t>answer</w:t>
      </w:r>
      <w:proofErr w:type="gramEnd"/>
      <w:r>
        <w:t xml:space="preserve"> so the judge does not have to rely only on </w:t>
      </w:r>
      <w:proofErr w:type="gramStart"/>
      <w:r>
        <w:t>its</w:t>
      </w:r>
      <w:proofErr w:type="gramEnd"/>
      <w:r>
        <w:t xml:space="preserve"> own knowledge.</w:t>
      </w:r>
    </w:p>
    <w:p w14:paraId="11AA4A23" w14:textId="77777777" w:rsidR="00E515B6" w:rsidRDefault="00000000">
      <w:pPr>
        <w:spacing w:after="120" w:line="228" w:lineRule="auto"/>
        <w:ind w:firstLine="288"/>
        <w:jc w:val="both"/>
      </w:pPr>
      <w:r>
        <w:rPr>
          <w:i/>
          <w:iCs/>
        </w:rPr>
        <w:t>Provider abstraction and object-oriented design.</w:t>
      </w:r>
      <w:r>
        <w:t xml:space="preserve"> Hiding differences behind a stable interface is an old idea in object-oriented design. The Strategy and Adapter patterns [11] and the open–closed principle [12] both describe how to add new implementations without touching the code that uses them. </w:t>
      </w:r>
      <w:proofErr w:type="gramStart"/>
      <w:r>
        <w:t xml:space="preserve">The </w:t>
      </w:r>
      <w:proofErr w:type="spellStart"/>
      <w:r>
        <w:t>Vercel</w:t>
      </w:r>
      <w:proofErr w:type="spellEnd"/>
      <w:proofErr w:type="gramEnd"/>
      <w:r>
        <w:t xml:space="preserve"> AI SDK [13] applies this to LLM providers by giving them </w:t>
      </w:r>
      <w:proofErr w:type="gramStart"/>
      <w:r>
        <w:t>one</w:t>
      </w:r>
      <w:proofErr w:type="gramEnd"/>
      <w:r>
        <w:t xml:space="preserve"> calling interface. We build on that, and add our own typed data contracts, evaluation layer and storage. We also treat the object-oriented structure as a goal of the </w:t>
      </w:r>
      <w:proofErr w:type="gramStart"/>
      <w:r>
        <w:t>project in its own right</w:t>
      </w:r>
      <w:proofErr w:type="gramEnd"/>
      <w:r>
        <w:t>.</w:t>
      </w:r>
    </w:p>
    <w:p w14:paraId="4CEAC9ED" w14:textId="77777777" w:rsidR="00E515B6" w:rsidRDefault="00000000">
      <w:pPr>
        <w:pStyle w:val="Heading1"/>
      </w:pPr>
      <w:r>
        <w:lastRenderedPageBreak/>
        <w:t>III. METHODOLOGY</w:t>
      </w:r>
    </w:p>
    <w:p w14:paraId="66515F30" w14:textId="77777777" w:rsidR="00E515B6" w:rsidRDefault="00000000">
      <w:pPr>
        <w:pStyle w:val="Heading2"/>
      </w:pPr>
      <w:r>
        <w:t>A. System Design</w:t>
      </w:r>
    </w:p>
    <w:p w14:paraId="5ABDA953" w14:textId="77777777" w:rsidR="00E515B6" w:rsidRDefault="00000000">
      <w:pPr>
        <w:spacing w:after="120" w:line="228" w:lineRule="auto"/>
        <w:ind w:firstLine="288"/>
        <w:jc w:val="both"/>
      </w:pPr>
      <w:proofErr w:type="spellStart"/>
      <w:r>
        <w:t>PromptBench</w:t>
      </w:r>
      <w:proofErr w:type="spellEnd"/>
      <w:r>
        <w:t xml:space="preserve"> has the layered structure shown in Fig. 1. At the top is a React dashboard with five screens: New Test, Results, Compare Prompts, Batch Evaluation and History. These screens talk to Next.js API routes (App Router) that handle submitting a test, comparing prompts, running a batch dataset, and fetching history and statistics. The routes only know about the common model-calling interface and the evaluation layer. They never deal with a specific provider directly. Everything is saved in a local data store, and a set of shared TypeScript interfaces keeps the data format the same across all layers.</w:t>
      </w:r>
    </w:p>
    <w:p w14:paraId="3915BCC7" w14:textId="77777777" w:rsidR="00E515B6" w:rsidRDefault="00000000">
      <w:pPr>
        <w:keepNext/>
        <w:spacing w:before="80"/>
        <w:jc w:val="center"/>
      </w:pPr>
      <w:r>
        <w:rPr>
          <w:noProof/>
        </w:rPr>
        <w:drawing>
          <wp:inline distT="0" distB="0" distL="0" distR="0" wp14:anchorId="595A1FD4" wp14:editId="7183FEDA">
            <wp:extent cx="3048000" cy="3257550"/>
            <wp:effectExtent l="0" t="0" r="0" b="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3257550"/>
                    </a:xfrm>
                    <a:prstGeom prst="rect">
                      <a:avLst/>
                    </a:prstGeom>
                  </pic:spPr>
                </pic:pic>
              </a:graphicData>
            </a:graphic>
          </wp:inline>
        </w:drawing>
      </w:r>
    </w:p>
    <w:p w14:paraId="11F80027" w14:textId="77777777" w:rsidR="00E515B6" w:rsidRDefault="00000000">
      <w:pPr>
        <w:spacing w:before="80" w:after="200"/>
        <w:jc w:val="both"/>
      </w:pPr>
      <w:r>
        <w:rPr>
          <w:sz w:val="16"/>
          <w:szCs w:val="16"/>
        </w:rPr>
        <w:t xml:space="preserve">Fig. 1.  Layered architecture of </w:t>
      </w:r>
      <w:proofErr w:type="spellStart"/>
      <w:r>
        <w:rPr>
          <w:sz w:val="16"/>
          <w:szCs w:val="16"/>
        </w:rPr>
        <w:t>PromptBench</w:t>
      </w:r>
      <w:proofErr w:type="spellEnd"/>
      <w:r>
        <w:rPr>
          <w:sz w:val="16"/>
          <w:szCs w:val="16"/>
        </w:rPr>
        <w:t>.</w:t>
      </w:r>
    </w:p>
    <w:p w14:paraId="722A942F" w14:textId="77777777" w:rsidR="00E515B6" w:rsidRDefault="00000000">
      <w:pPr>
        <w:spacing w:after="120" w:line="228" w:lineRule="auto"/>
        <w:ind w:firstLine="288"/>
        <w:jc w:val="both"/>
      </w:pPr>
      <w:r>
        <w:t>We built the system in six phases. First, we defined the core interfaces and types (</w:t>
      </w:r>
      <w:proofErr w:type="spellStart"/>
      <w:r>
        <w:rPr>
          <w:rFonts w:ascii="Courier New" w:eastAsia="Courier New" w:hAnsi="Courier New" w:cs="Courier New"/>
          <w:sz w:val="18"/>
          <w:szCs w:val="18"/>
        </w:rPr>
        <w:t>TestResult</w:t>
      </w:r>
      <w:proofErr w:type="spellEnd"/>
      <w:r>
        <w:t xml:space="preserve">, </w:t>
      </w:r>
      <w:proofErr w:type="spellStart"/>
      <w:r>
        <w:rPr>
          <w:rFonts w:ascii="Courier New" w:eastAsia="Courier New" w:hAnsi="Courier New" w:cs="Courier New"/>
          <w:sz w:val="18"/>
          <w:szCs w:val="18"/>
        </w:rPr>
        <w:t>DatasetItem</w:t>
      </w:r>
      <w:proofErr w:type="spellEnd"/>
      <w:r>
        <w:t xml:space="preserve"> and </w:t>
      </w:r>
      <w:proofErr w:type="spellStart"/>
      <w:r>
        <w:rPr>
          <w:rFonts w:ascii="Courier New" w:eastAsia="Courier New" w:hAnsi="Courier New" w:cs="Courier New"/>
          <w:sz w:val="18"/>
          <w:szCs w:val="18"/>
        </w:rPr>
        <w:t>BatchTestRecord</w:t>
      </w:r>
      <w:proofErr w:type="spellEnd"/>
      <w:r>
        <w:t xml:space="preserve">). Second, we wrote the Gemini and </w:t>
      </w:r>
      <w:proofErr w:type="spellStart"/>
      <w:r>
        <w:t>Groq</w:t>
      </w:r>
      <w:proofErr w:type="spellEnd"/>
      <w:r>
        <w:t xml:space="preserve"> calling code behind one polymorphic interface. Third, we created the API routes, and fourth, the dashboard out of reusable React components. Fifth, we added the LLM-as-judge evaluator, which has a general quality-rubric grader and a reference-based factuality grader. Finally, we tested everything end to end with real API calls to both providers and checked the batch accuracy scoring against a question–answer dataset that we curated by hand.</w:t>
      </w:r>
    </w:p>
    <w:p w14:paraId="6683BBDE" w14:textId="77777777" w:rsidR="00E515B6" w:rsidRDefault="00000000">
      <w:pPr>
        <w:pStyle w:val="Heading2"/>
      </w:pPr>
      <w:r>
        <w:t>B. Object-Oriented Architecture</w:t>
      </w:r>
    </w:p>
    <w:p w14:paraId="66CB29F5" w14:textId="77777777" w:rsidR="00E515B6" w:rsidRDefault="00000000">
      <w:pPr>
        <w:spacing w:after="120" w:line="228" w:lineRule="auto"/>
        <w:ind w:firstLine="288"/>
        <w:jc w:val="both"/>
      </w:pPr>
      <w:r>
        <w:rPr>
          <w:i/>
          <w:iCs/>
        </w:rPr>
        <w:t>Encapsulation.</w:t>
      </w:r>
      <w:r>
        <w:t xml:space="preserve"> Gemini and </w:t>
      </w:r>
      <w:proofErr w:type="spellStart"/>
      <w:r>
        <w:t>Groq</w:t>
      </w:r>
      <w:proofErr w:type="spellEnd"/>
      <w:r>
        <w:t xml:space="preserve"> expect different requests and return different responses. We keep </w:t>
      </w:r>
      <w:proofErr w:type="gramStart"/>
      <w:r>
        <w:t>all of</w:t>
      </w:r>
      <w:proofErr w:type="gramEnd"/>
      <w:r>
        <w:t xml:space="preserve"> that provider-specific work, such as building the request, parsing the reply and counting tokens, inside one module per provider. The rest of the application only sees a uniform interface, so nothing else depends on how a particular provider works.</w:t>
      </w:r>
    </w:p>
    <w:p w14:paraId="1B1594F1" w14:textId="77777777" w:rsidR="00E515B6" w:rsidRDefault="00000000">
      <w:pPr>
        <w:spacing w:after="120" w:line="228" w:lineRule="auto"/>
        <w:ind w:firstLine="288"/>
        <w:jc w:val="both"/>
      </w:pPr>
      <w:r>
        <w:rPr>
          <w:i/>
          <w:iCs/>
        </w:rPr>
        <w:t>Abstraction.</w:t>
      </w:r>
      <w:r>
        <w:t xml:space="preserve"> A few shared TypeScript interfaces (</w:t>
      </w:r>
      <w:proofErr w:type="spellStart"/>
      <w:r>
        <w:rPr>
          <w:rFonts w:ascii="Courier New" w:eastAsia="Courier New" w:hAnsi="Courier New" w:cs="Courier New"/>
          <w:sz w:val="18"/>
          <w:szCs w:val="18"/>
        </w:rPr>
        <w:t>TestResult</w:t>
      </w:r>
      <w:proofErr w:type="spellEnd"/>
      <w:r>
        <w:t xml:space="preserve">, </w:t>
      </w:r>
      <w:proofErr w:type="spellStart"/>
      <w:r>
        <w:rPr>
          <w:rFonts w:ascii="Courier New" w:eastAsia="Courier New" w:hAnsi="Courier New" w:cs="Courier New"/>
          <w:sz w:val="18"/>
          <w:szCs w:val="18"/>
        </w:rPr>
        <w:t>DatasetItem</w:t>
      </w:r>
      <w:proofErr w:type="spellEnd"/>
      <w:r>
        <w:t xml:space="preserve"> and </w:t>
      </w:r>
      <w:proofErr w:type="spellStart"/>
      <w:r>
        <w:rPr>
          <w:rFonts w:ascii="Courier New" w:eastAsia="Courier New" w:hAnsi="Courier New" w:cs="Courier New"/>
          <w:sz w:val="18"/>
          <w:szCs w:val="18"/>
        </w:rPr>
        <w:t>BatchTestRecord</w:t>
      </w:r>
      <w:proofErr w:type="spellEnd"/>
      <w:r>
        <w:t>) act as the data contract between the frontend, the backend and the evaluation layer. Listing 1 shows a simplified version. Because of this, the dashboard can display results without caring which provider produced them.</w:t>
      </w:r>
    </w:p>
    <w:p w14:paraId="25FF9B79" w14:textId="77777777" w:rsidR="00E515B6" w:rsidRDefault="00000000">
      <w:pPr>
        <w:spacing w:after="120" w:line="228" w:lineRule="auto"/>
        <w:ind w:firstLine="288"/>
        <w:jc w:val="both"/>
      </w:pPr>
      <w:r>
        <w:rPr>
          <w:i/>
          <w:iCs/>
        </w:rPr>
        <w:t>Polymorphism.</w:t>
      </w:r>
      <w:r>
        <w:t xml:space="preserve"> Every provider is called with the </w:t>
      </w:r>
      <w:proofErr w:type="gramStart"/>
      <w:r>
        <w:t>same method</w:t>
      </w:r>
      <w:proofErr w:type="gramEnd"/>
      <w:r>
        <w:t xml:space="preserve"> signature, whatever happens inside it. The routing layer picks the right implementation at run time. To add a new provider, a developer only </w:t>
      </w:r>
      <w:proofErr w:type="gramStart"/>
      <w:r>
        <w:t>has to</w:t>
      </w:r>
      <w:proofErr w:type="gramEnd"/>
      <w:r>
        <w:t xml:space="preserve"> implement the small interface in Listing 1. None of the calling code needs to change.</w:t>
      </w:r>
    </w:p>
    <w:p w14:paraId="59FC3417" w14:textId="77777777" w:rsidR="00E515B6" w:rsidRDefault="00000000">
      <w:pPr>
        <w:shd w:val="clear" w:color="auto" w:fill="F2F2F2"/>
        <w:spacing w:line="200" w:lineRule="auto"/>
      </w:pPr>
      <w:r>
        <w:rPr>
          <w:rFonts w:ascii="Courier New" w:eastAsia="Courier New" w:hAnsi="Courier New" w:cs="Courier New"/>
          <w:sz w:val="14"/>
          <w:szCs w:val="14"/>
        </w:rPr>
        <w:t xml:space="preserve">interface </w:t>
      </w:r>
      <w:proofErr w:type="spellStart"/>
      <w:r>
        <w:rPr>
          <w:rFonts w:ascii="Courier New" w:eastAsia="Courier New" w:hAnsi="Courier New" w:cs="Courier New"/>
          <w:sz w:val="14"/>
          <w:szCs w:val="14"/>
        </w:rPr>
        <w:t>TestResult</w:t>
      </w:r>
      <w:proofErr w:type="spellEnd"/>
      <w:r>
        <w:rPr>
          <w:rFonts w:ascii="Courier New" w:eastAsia="Courier New" w:hAnsi="Courier New" w:cs="Courier New"/>
          <w:sz w:val="14"/>
          <w:szCs w:val="14"/>
        </w:rPr>
        <w:t xml:space="preserve"> {</w:t>
      </w:r>
    </w:p>
    <w:p w14:paraId="3B674CF8" w14:textId="77777777" w:rsidR="00E515B6" w:rsidRDefault="00000000">
      <w:pPr>
        <w:shd w:val="clear" w:color="auto" w:fill="F2F2F2"/>
        <w:spacing w:line="200" w:lineRule="auto"/>
      </w:pPr>
      <w:r>
        <w:rPr>
          <w:rFonts w:ascii="Courier New" w:eastAsia="Courier New" w:hAnsi="Courier New" w:cs="Courier New"/>
          <w:sz w:val="14"/>
          <w:szCs w:val="14"/>
        </w:rPr>
        <w:t xml:space="preserve">  model: </w:t>
      </w:r>
      <w:proofErr w:type="gramStart"/>
      <w:r>
        <w:rPr>
          <w:rFonts w:ascii="Courier New" w:eastAsia="Courier New" w:hAnsi="Courier New" w:cs="Courier New"/>
          <w:sz w:val="14"/>
          <w:szCs w:val="14"/>
        </w:rPr>
        <w:t xml:space="preserve">string;   </w:t>
      </w:r>
      <w:proofErr w:type="gramEnd"/>
      <w:r>
        <w:rPr>
          <w:rFonts w:ascii="Courier New" w:eastAsia="Courier New" w:hAnsi="Courier New" w:cs="Courier New"/>
          <w:sz w:val="14"/>
          <w:szCs w:val="14"/>
        </w:rPr>
        <w:t xml:space="preserve">  response: string;</w:t>
      </w:r>
    </w:p>
    <w:p w14:paraId="05008E2E" w14:textId="77777777" w:rsidR="00E515B6" w:rsidRDefault="00000000">
      <w:pPr>
        <w:shd w:val="clear" w:color="auto" w:fill="F2F2F2"/>
        <w:spacing w:line="200" w:lineRule="auto"/>
      </w:pPr>
      <w:r>
        <w:rPr>
          <w:rFonts w:ascii="Courier New" w:eastAsia="Courier New" w:hAnsi="Courier New" w:cs="Courier New"/>
          <w:sz w:val="14"/>
          <w:szCs w:val="14"/>
        </w:rPr>
        <w:t xml:space="preserve">  tokens: </w:t>
      </w:r>
      <w:proofErr w:type="gramStart"/>
      <w:r>
        <w:rPr>
          <w:rFonts w:ascii="Courier New" w:eastAsia="Courier New" w:hAnsi="Courier New" w:cs="Courier New"/>
          <w:sz w:val="14"/>
          <w:szCs w:val="14"/>
        </w:rPr>
        <w:t xml:space="preserve">number;   </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latencyMs</w:t>
      </w:r>
      <w:proofErr w:type="spellEnd"/>
      <w:r>
        <w:rPr>
          <w:rFonts w:ascii="Courier New" w:eastAsia="Courier New" w:hAnsi="Courier New" w:cs="Courier New"/>
          <w:sz w:val="14"/>
          <w:szCs w:val="14"/>
        </w:rPr>
        <w:t>: number;</w:t>
      </w:r>
    </w:p>
    <w:p w14:paraId="015B2427" w14:textId="77777777" w:rsidR="00E515B6" w:rsidRDefault="00000000">
      <w:pPr>
        <w:shd w:val="clear" w:color="auto" w:fill="F2F2F2"/>
        <w:spacing w:line="200" w:lineRule="auto"/>
      </w:pPr>
      <w:r>
        <w:rPr>
          <w:rFonts w:ascii="Courier New" w:eastAsia="Courier New" w:hAnsi="Courier New" w:cs="Courier New"/>
          <w:sz w:val="14"/>
          <w:szCs w:val="14"/>
        </w:rPr>
        <w:t xml:space="preserve">  cost: </w:t>
      </w:r>
      <w:proofErr w:type="gramStart"/>
      <w:r>
        <w:rPr>
          <w:rFonts w:ascii="Courier New" w:eastAsia="Courier New" w:hAnsi="Courier New" w:cs="Courier New"/>
          <w:sz w:val="14"/>
          <w:szCs w:val="14"/>
        </w:rPr>
        <w:t xml:space="preserve">number;   </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score?:</w:t>
      </w:r>
      <w:proofErr w:type="gramEnd"/>
      <w:r>
        <w:rPr>
          <w:rFonts w:ascii="Courier New" w:eastAsia="Courier New" w:hAnsi="Courier New" w:cs="Courier New"/>
          <w:sz w:val="14"/>
          <w:szCs w:val="14"/>
        </w:rPr>
        <w:t xml:space="preserve"> number;</w:t>
      </w:r>
    </w:p>
    <w:p w14:paraId="20868A71" w14:textId="77777777" w:rsidR="00E515B6" w:rsidRDefault="00000000">
      <w:pPr>
        <w:shd w:val="clear" w:color="auto" w:fill="F2F2F2"/>
        <w:spacing w:line="200" w:lineRule="auto"/>
      </w:pPr>
      <w:r>
        <w:rPr>
          <w:rFonts w:ascii="Courier New" w:eastAsia="Courier New" w:hAnsi="Courier New" w:cs="Courier New"/>
          <w:sz w:val="14"/>
          <w:szCs w:val="14"/>
        </w:rPr>
        <w:t>}</w:t>
      </w:r>
    </w:p>
    <w:p w14:paraId="6479D336" w14:textId="77777777" w:rsidR="00E515B6" w:rsidRDefault="00000000">
      <w:pPr>
        <w:shd w:val="clear" w:color="auto" w:fill="F2F2F2"/>
        <w:spacing w:line="200" w:lineRule="auto"/>
      </w:pPr>
      <w:r>
        <w:rPr>
          <w:rFonts w:ascii="Courier New" w:eastAsia="Courier New" w:hAnsi="Courier New" w:cs="Courier New"/>
          <w:sz w:val="14"/>
          <w:szCs w:val="14"/>
        </w:rPr>
        <w:t xml:space="preserve">interface </w:t>
      </w:r>
      <w:proofErr w:type="spellStart"/>
      <w:r>
        <w:rPr>
          <w:rFonts w:ascii="Courier New" w:eastAsia="Courier New" w:hAnsi="Courier New" w:cs="Courier New"/>
          <w:sz w:val="14"/>
          <w:szCs w:val="14"/>
        </w:rPr>
        <w:t>ModelProvider</w:t>
      </w:r>
      <w:proofErr w:type="spellEnd"/>
      <w:r>
        <w:rPr>
          <w:rFonts w:ascii="Courier New" w:eastAsia="Courier New" w:hAnsi="Courier New" w:cs="Courier New"/>
          <w:sz w:val="14"/>
          <w:szCs w:val="14"/>
        </w:rPr>
        <w:t xml:space="preserve"> {</w:t>
      </w:r>
    </w:p>
    <w:p w14:paraId="30A8B2DF" w14:textId="77777777" w:rsidR="00E515B6" w:rsidRDefault="00000000">
      <w:pPr>
        <w:shd w:val="clear" w:color="auto" w:fill="F2F2F2"/>
        <w:spacing w:line="20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readonly</w:t>
      </w:r>
      <w:proofErr w:type="spellEnd"/>
      <w:r>
        <w:rPr>
          <w:rFonts w:ascii="Courier New" w:eastAsia="Courier New" w:hAnsi="Courier New" w:cs="Courier New"/>
          <w:sz w:val="14"/>
          <w:szCs w:val="14"/>
        </w:rPr>
        <w:t xml:space="preserve"> id: string;</w:t>
      </w:r>
    </w:p>
    <w:p w14:paraId="52E2D48D" w14:textId="77777777" w:rsidR="00E515B6" w:rsidRDefault="00000000">
      <w:pPr>
        <w:shd w:val="clear" w:color="auto" w:fill="F2F2F2"/>
        <w:spacing w:line="20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generate(</w:t>
      </w:r>
      <w:proofErr w:type="gramEnd"/>
      <w:r>
        <w:rPr>
          <w:rFonts w:ascii="Courier New" w:eastAsia="Courier New" w:hAnsi="Courier New" w:cs="Courier New"/>
          <w:sz w:val="14"/>
          <w:szCs w:val="14"/>
        </w:rPr>
        <w:t>prompt: string): Promise&lt;</w:t>
      </w:r>
      <w:proofErr w:type="spellStart"/>
      <w:r>
        <w:rPr>
          <w:rFonts w:ascii="Courier New" w:eastAsia="Courier New" w:hAnsi="Courier New" w:cs="Courier New"/>
          <w:sz w:val="14"/>
          <w:szCs w:val="14"/>
        </w:rPr>
        <w:t>TestResult</w:t>
      </w:r>
      <w:proofErr w:type="spellEnd"/>
      <w:r>
        <w:rPr>
          <w:rFonts w:ascii="Courier New" w:eastAsia="Courier New" w:hAnsi="Courier New" w:cs="Courier New"/>
          <w:sz w:val="14"/>
          <w:szCs w:val="14"/>
        </w:rPr>
        <w:t>&gt;;</w:t>
      </w:r>
    </w:p>
    <w:p w14:paraId="63010042" w14:textId="77777777" w:rsidR="00E515B6" w:rsidRDefault="00000000">
      <w:pPr>
        <w:shd w:val="clear" w:color="auto" w:fill="F2F2F2"/>
        <w:spacing w:line="200" w:lineRule="auto"/>
      </w:pPr>
      <w:r>
        <w:rPr>
          <w:rFonts w:ascii="Courier New" w:eastAsia="Courier New" w:hAnsi="Courier New" w:cs="Courier New"/>
          <w:sz w:val="14"/>
          <w:szCs w:val="14"/>
        </w:rPr>
        <w:t>}</w:t>
      </w:r>
    </w:p>
    <w:p w14:paraId="3873D86A" w14:textId="77777777" w:rsidR="00E515B6" w:rsidRDefault="00000000">
      <w:pPr>
        <w:shd w:val="clear" w:color="auto" w:fill="F2F2F2"/>
        <w:spacing w:line="200" w:lineRule="auto"/>
      </w:pPr>
      <w:r>
        <w:rPr>
          <w:rFonts w:ascii="Courier New" w:eastAsia="Courier New" w:hAnsi="Courier New" w:cs="Courier New"/>
          <w:sz w:val="14"/>
          <w:szCs w:val="14"/>
        </w:rPr>
        <w:t xml:space="preserve">class </w:t>
      </w:r>
      <w:proofErr w:type="spellStart"/>
      <w:r>
        <w:rPr>
          <w:rFonts w:ascii="Courier New" w:eastAsia="Courier New" w:hAnsi="Courier New" w:cs="Courier New"/>
          <w:sz w:val="14"/>
          <w:szCs w:val="14"/>
        </w:rPr>
        <w:t>GeminiProvider</w:t>
      </w:r>
      <w:proofErr w:type="spellEnd"/>
      <w:r>
        <w:rPr>
          <w:rFonts w:ascii="Courier New" w:eastAsia="Courier New" w:hAnsi="Courier New" w:cs="Courier New"/>
          <w:sz w:val="14"/>
          <w:szCs w:val="14"/>
        </w:rPr>
        <w:t xml:space="preserve"> implements </w:t>
      </w:r>
      <w:proofErr w:type="spellStart"/>
      <w:r>
        <w:rPr>
          <w:rFonts w:ascii="Courier New" w:eastAsia="Courier New" w:hAnsi="Courier New" w:cs="Courier New"/>
          <w:sz w:val="14"/>
          <w:szCs w:val="14"/>
        </w:rPr>
        <w:t>ModelProvider</w:t>
      </w:r>
      <w:proofErr w:type="spellEnd"/>
      <w:r>
        <w:rPr>
          <w:rFonts w:ascii="Courier New" w:eastAsia="Courier New" w:hAnsi="Courier New" w:cs="Courier New"/>
          <w:sz w:val="14"/>
          <w:szCs w:val="14"/>
        </w:rPr>
        <w:t xml:space="preserve"> {...}</w:t>
      </w:r>
    </w:p>
    <w:p w14:paraId="4F423EB0" w14:textId="77777777" w:rsidR="00E515B6" w:rsidRDefault="00000000">
      <w:pPr>
        <w:shd w:val="clear" w:color="auto" w:fill="F2F2F2"/>
        <w:spacing w:line="200" w:lineRule="auto"/>
      </w:pPr>
      <w:r>
        <w:rPr>
          <w:rFonts w:ascii="Courier New" w:eastAsia="Courier New" w:hAnsi="Courier New" w:cs="Courier New"/>
          <w:sz w:val="14"/>
          <w:szCs w:val="14"/>
        </w:rPr>
        <w:t xml:space="preserve">class GroqProvider   implements </w:t>
      </w:r>
      <w:proofErr w:type="spellStart"/>
      <w:r>
        <w:rPr>
          <w:rFonts w:ascii="Courier New" w:eastAsia="Courier New" w:hAnsi="Courier New" w:cs="Courier New"/>
          <w:sz w:val="14"/>
          <w:szCs w:val="14"/>
        </w:rPr>
        <w:t>ModelProvider</w:t>
      </w:r>
      <w:proofErr w:type="spellEnd"/>
      <w:r>
        <w:rPr>
          <w:rFonts w:ascii="Courier New" w:eastAsia="Courier New" w:hAnsi="Courier New" w:cs="Courier New"/>
          <w:sz w:val="14"/>
          <w:szCs w:val="14"/>
        </w:rPr>
        <w:t xml:space="preserve"> {...}</w:t>
      </w:r>
    </w:p>
    <w:p w14:paraId="3B6BBA28" w14:textId="77777777" w:rsidR="00E515B6" w:rsidRDefault="00000000">
      <w:pPr>
        <w:spacing w:before="80" w:after="200"/>
        <w:jc w:val="both"/>
      </w:pPr>
      <w:r>
        <w:rPr>
          <w:sz w:val="16"/>
          <w:szCs w:val="16"/>
        </w:rPr>
        <w:t>Listing 1.  Simplified data contract and provider interface (illustrative).</w:t>
      </w:r>
    </w:p>
    <w:p w14:paraId="2ED170AA" w14:textId="77777777" w:rsidR="00E515B6" w:rsidRDefault="00000000">
      <w:pPr>
        <w:pStyle w:val="Heading2"/>
      </w:pPr>
      <w:r>
        <w:t>C. Test and Comparison Pipeline</w:t>
      </w:r>
    </w:p>
    <w:p w14:paraId="33DC0552" w14:textId="77777777" w:rsidR="00E515B6" w:rsidRDefault="00000000">
      <w:pPr>
        <w:spacing w:after="120" w:line="228" w:lineRule="auto"/>
        <w:ind w:firstLine="288"/>
        <w:jc w:val="both"/>
      </w:pPr>
      <w:r>
        <w:t>When a prompt is submitted, the routing layer sends it to each selected provider and records the response, token usage, latency and cost. We measure latency on the server as the time between sending the request and receiving the full response:</w:t>
      </w:r>
    </w:p>
    <w:p w14:paraId="1AC4F348" w14:textId="77777777" w:rsidR="00E515B6" w:rsidRDefault="00000000">
      <w:pPr>
        <w:tabs>
          <w:tab w:val="center" w:pos="2440"/>
          <w:tab w:val="right" w:pos="4880"/>
        </w:tabs>
        <w:spacing w:before="60" w:after="120"/>
      </w:pPr>
      <w:r>
        <w:tab/>
      </w:r>
      <w:r>
        <w:rPr>
          <w:i/>
          <w:iCs/>
        </w:rPr>
        <w:t>L</w:t>
      </w:r>
      <w:r>
        <w:t xml:space="preserve"> = </w:t>
      </w:r>
      <w:r>
        <w:rPr>
          <w:i/>
          <w:iCs/>
        </w:rPr>
        <w:t>t</w:t>
      </w:r>
      <w:r>
        <w:rPr>
          <w:vertAlign w:val="subscript"/>
        </w:rPr>
        <w:t>end</w:t>
      </w:r>
      <w:r>
        <w:t xml:space="preserve"> − </w:t>
      </w:r>
      <w:proofErr w:type="spellStart"/>
      <w:r>
        <w:rPr>
          <w:i/>
          <w:iCs/>
        </w:rPr>
        <w:t>t</w:t>
      </w:r>
      <w:r>
        <w:rPr>
          <w:vertAlign w:val="subscript"/>
        </w:rPr>
        <w:t>start</w:t>
      </w:r>
      <w:proofErr w:type="spellEnd"/>
      <w:r>
        <w:tab/>
        <w:t>(1)</w:t>
      </w:r>
    </w:p>
    <w:p w14:paraId="10B5D87E" w14:textId="77777777" w:rsidR="00E515B6" w:rsidRDefault="00000000">
      <w:pPr>
        <w:spacing w:after="120" w:line="228" w:lineRule="auto"/>
        <w:ind w:firstLine="288"/>
        <w:jc w:val="both"/>
      </w:pPr>
      <w:r>
        <w:t>The cost of a call is estimated from the number of prompt and completion tokens and a price table that can be configured:</w:t>
      </w:r>
    </w:p>
    <w:p w14:paraId="2B3F0A41" w14:textId="77777777" w:rsidR="00E515B6" w:rsidRDefault="00000000">
      <w:pPr>
        <w:tabs>
          <w:tab w:val="center" w:pos="2440"/>
          <w:tab w:val="right" w:pos="4880"/>
        </w:tabs>
        <w:spacing w:before="60" w:after="120"/>
      </w:pPr>
      <w:r>
        <w:tab/>
      </w:r>
      <w:r>
        <w:rPr>
          <w:i/>
          <w:iCs/>
        </w:rPr>
        <w:t>C</w:t>
      </w:r>
      <w:r>
        <w:t xml:space="preserve"> = (</w:t>
      </w:r>
      <w:proofErr w:type="spellStart"/>
      <w:r>
        <w:rPr>
          <w:i/>
          <w:iCs/>
        </w:rPr>
        <w:t>n</w:t>
      </w:r>
      <w:r>
        <w:rPr>
          <w:vertAlign w:val="subscript"/>
        </w:rPr>
        <w:t>in</w:t>
      </w:r>
      <w:r>
        <w:t>·</w:t>
      </w:r>
      <w:r>
        <w:rPr>
          <w:i/>
          <w:iCs/>
        </w:rPr>
        <w:t>p</w:t>
      </w:r>
      <w:r>
        <w:rPr>
          <w:vertAlign w:val="subscript"/>
        </w:rPr>
        <w:t>in</w:t>
      </w:r>
      <w:proofErr w:type="spellEnd"/>
      <w:r>
        <w:t xml:space="preserve"> + </w:t>
      </w:r>
      <w:proofErr w:type="spellStart"/>
      <w:r>
        <w:rPr>
          <w:i/>
          <w:iCs/>
        </w:rPr>
        <w:t>n</w:t>
      </w:r>
      <w:r>
        <w:rPr>
          <w:vertAlign w:val="subscript"/>
        </w:rPr>
        <w:t>out</w:t>
      </w:r>
      <w:r>
        <w:t>·</w:t>
      </w:r>
      <w:r>
        <w:rPr>
          <w:i/>
          <w:iCs/>
        </w:rPr>
        <w:t>p</w:t>
      </w:r>
      <w:r>
        <w:rPr>
          <w:vertAlign w:val="subscript"/>
        </w:rPr>
        <w:t>out</w:t>
      </w:r>
      <w:proofErr w:type="spellEnd"/>
      <w:r>
        <w:t>) / 10</w:t>
      </w:r>
      <w:r>
        <w:rPr>
          <w:vertAlign w:val="superscript"/>
        </w:rPr>
        <w:t>6</w:t>
      </w:r>
      <w:r>
        <w:tab/>
        <w:t>(2)</w:t>
      </w:r>
    </w:p>
    <w:p w14:paraId="2C792719" w14:textId="77777777" w:rsidR="00E515B6" w:rsidRDefault="00000000">
      <w:pPr>
        <w:spacing w:after="120" w:line="228" w:lineRule="auto"/>
        <w:ind w:firstLine="288"/>
        <w:jc w:val="both"/>
      </w:pPr>
      <w:r>
        <w:t xml:space="preserve">Here </w:t>
      </w:r>
      <w:r>
        <w:rPr>
          <w:i/>
          <w:iCs/>
        </w:rPr>
        <w:t>n</w:t>
      </w:r>
      <w:r>
        <w:t xml:space="preserve"> stands for the token counts and </w:t>
      </w:r>
      <w:r>
        <w:rPr>
          <w:i/>
          <w:iCs/>
        </w:rPr>
        <w:t>p</w:t>
      </w:r>
      <w:r>
        <w:t xml:space="preserve"> for the price per million tokens. Since we only use free tiers, </w:t>
      </w:r>
      <w:r>
        <w:rPr>
          <w:i/>
          <w:iCs/>
        </w:rPr>
        <w:t>C</w:t>
      </w:r>
      <w:r>
        <w:t xml:space="preserve"> is what the same call would cost on a paid plan, not an amount we were </w:t>
      </w:r>
      <w:proofErr w:type="gramStart"/>
      <w:r>
        <w:t>actually charged</w:t>
      </w:r>
      <w:proofErr w:type="gramEnd"/>
      <w:r>
        <w:t>. The Compare Prompts screen applies the same pipeline to several versions of a prompt, so you can see how rewording affects each model.</w:t>
      </w:r>
    </w:p>
    <w:p w14:paraId="3EDDA87F" w14:textId="77777777" w:rsidR="00E515B6" w:rsidRDefault="00000000">
      <w:pPr>
        <w:pStyle w:val="Heading2"/>
      </w:pPr>
      <w:r>
        <w:t>D. LLM-as-Judge Evaluation</w:t>
      </w:r>
    </w:p>
    <w:p w14:paraId="5895F5BD" w14:textId="77777777" w:rsidR="00E515B6" w:rsidRDefault="00000000">
      <w:pPr>
        <w:pStyle w:val="Heading3"/>
      </w:pPr>
      <w:r>
        <w:t>1) General quality grader</w:t>
      </w:r>
    </w:p>
    <w:p w14:paraId="0C013931" w14:textId="77777777" w:rsidR="00E515B6" w:rsidRDefault="00000000">
      <w:pPr>
        <w:spacing w:after="120" w:line="228" w:lineRule="auto"/>
        <w:ind w:firstLine="288"/>
        <w:jc w:val="both"/>
      </w:pPr>
      <w:r>
        <w:t>A second LLM call is given the original prompt, the response and a scoring rubric, and it returns a numeric quality score. We ask for structured output so the score can be read reliably and saved with the test result.</w:t>
      </w:r>
    </w:p>
    <w:p w14:paraId="25FBC500" w14:textId="77777777" w:rsidR="00E515B6" w:rsidRDefault="00000000">
      <w:pPr>
        <w:pStyle w:val="Heading3"/>
      </w:pPr>
      <w:r>
        <w:t>2) Reference-based factuality grader</w:t>
      </w:r>
    </w:p>
    <w:p w14:paraId="46C14D51" w14:textId="77777777" w:rsidR="00E515B6" w:rsidRDefault="00000000">
      <w:pPr>
        <w:spacing w:after="120" w:line="228" w:lineRule="auto"/>
        <w:ind w:firstLine="288"/>
        <w:jc w:val="both"/>
      </w:pPr>
      <w:r>
        <w:t xml:space="preserve">If a reference answer is available, the judge gets the question, the reference and the model’s response, and decides whether the response agrees with the reference factually. Checking against a reference instead of the judge’s own knowledge keeps the verdict grounded and reduces the effect of judge mistakes [9]. The result is a simple 0 or 1, written as </w:t>
      </w:r>
      <w:r>
        <w:rPr>
          <w:i/>
          <w:iCs/>
        </w:rPr>
        <w:t>c</w:t>
      </w:r>
      <w:r>
        <w:t xml:space="preserve"> ∈ {0, </w:t>
      </w:r>
      <w:proofErr w:type="gramStart"/>
      <w:r>
        <w:t>1},</w:t>
      </w:r>
      <w:proofErr w:type="gramEnd"/>
      <w:r>
        <w:t xml:space="preserve"> which is used for the batch accuracy score.</w:t>
      </w:r>
    </w:p>
    <w:p w14:paraId="00BFFEBC" w14:textId="77777777" w:rsidR="00E515B6" w:rsidRDefault="00000000">
      <w:pPr>
        <w:pStyle w:val="Heading2"/>
      </w:pPr>
      <w:r>
        <w:t>E. Batch Evaluation</w:t>
      </w:r>
    </w:p>
    <w:p w14:paraId="609C31C2" w14:textId="77777777" w:rsidR="00E515B6" w:rsidRDefault="00000000">
      <w:pPr>
        <w:spacing w:after="120" w:line="228" w:lineRule="auto"/>
        <w:ind w:firstLine="288"/>
        <w:jc w:val="both"/>
      </w:pPr>
      <w:r>
        <w:t xml:space="preserve">The Batch Evaluation screen runs a whole dataset of </w:t>
      </w:r>
      <w:proofErr w:type="spellStart"/>
      <w:r>
        <w:rPr>
          <w:rFonts w:ascii="Courier New" w:eastAsia="Courier New" w:hAnsi="Courier New" w:cs="Courier New"/>
          <w:sz w:val="18"/>
          <w:szCs w:val="18"/>
        </w:rPr>
        <w:t>DatasetItem</w:t>
      </w:r>
      <w:proofErr w:type="spellEnd"/>
      <w:r>
        <w:t xml:space="preserve"> records (each a question with a reference answer) against the chosen models. For a model </w:t>
      </w:r>
      <w:r>
        <w:rPr>
          <w:i/>
          <w:iCs/>
        </w:rPr>
        <w:t>m</w:t>
      </w:r>
      <w:r>
        <w:t xml:space="preserve"> and a dataset with </w:t>
      </w:r>
      <w:r>
        <w:rPr>
          <w:i/>
          <w:iCs/>
        </w:rPr>
        <w:t>N</w:t>
      </w:r>
      <w:r>
        <w:t xml:space="preserve"> items, accuracy is</w:t>
      </w:r>
    </w:p>
    <w:p w14:paraId="632DD9E9" w14:textId="77777777" w:rsidR="00E515B6" w:rsidRDefault="00000000">
      <w:pPr>
        <w:tabs>
          <w:tab w:val="center" w:pos="2440"/>
          <w:tab w:val="right" w:pos="4880"/>
        </w:tabs>
        <w:spacing w:before="60" w:after="120"/>
      </w:pPr>
      <w:r>
        <w:tab/>
      </w:r>
      <w:proofErr w:type="spellStart"/>
      <w:r>
        <w:rPr>
          <w:i/>
          <w:iCs/>
        </w:rPr>
        <w:t>Acc</w:t>
      </w:r>
      <w:r>
        <w:rPr>
          <w:vertAlign w:val="subscript"/>
        </w:rPr>
        <w:t>m</w:t>
      </w:r>
      <w:proofErr w:type="spellEnd"/>
      <w:r>
        <w:t xml:space="preserve"> = (100 / </w:t>
      </w:r>
      <w:r>
        <w:rPr>
          <w:i/>
          <w:iCs/>
        </w:rPr>
        <w:t>N</w:t>
      </w:r>
      <w:r>
        <w:t xml:space="preserve">) Σ </w:t>
      </w:r>
      <w:proofErr w:type="spellStart"/>
      <w:proofErr w:type="gramStart"/>
      <w:r>
        <w:rPr>
          <w:i/>
          <w:iCs/>
        </w:rPr>
        <w:t>c</w:t>
      </w:r>
      <w:r>
        <w:rPr>
          <w:vertAlign w:val="subscript"/>
        </w:rPr>
        <w:t>m,i</w:t>
      </w:r>
      <w:proofErr w:type="spellEnd"/>
      <w:proofErr w:type="gramEnd"/>
      <w:r>
        <w:tab/>
        <w:t>(3)</w:t>
      </w:r>
    </w:p>
    <w:p w14:paraId="710D9D4D" w14:textId="77777777" w:rsidR="00E515B6" w:rsidRDefault="00000000">
      <w:pPr>
        <w:spacing w:after="120" w:line="228" w:lineRule="auto"/>
        <w:ind w:firstLine="288"/>
        <w:jc w:val="both"/>
      </w:pPr>
      <w:r>
        <w:t xml:space="preserve">The accuracy of each model, along with its average latency and cost, is saved as a </w:t>
      </w:r>
      <w:proofErr w:type="spellStart"/>
      <w:r>
        <w:rPr>
          <w:rFonts w:ascii="Courier New" w:eastAsia="Courier New" w:hAnsi="Courier New" w:cs="Courier New"/>
          <w:sz w:val="18"/>
          <w:szCs w:val="18"/>
        </w:rPr>
        <w:t>BatchTestRecord</w:t>
      </w:r>
      <w:proofErr w:type="spellEnd"/>
      <w:r>
        <w:t>. That makes it easy to compare models, prompts or dates later. Fig. 2 gives an overview of the flow.</w:t>
      </w:r>
    </w:p>
    <w:p w14:paraId="32589520" w14:textId="77777777" w:rsidR="00E515B6" w:rsidRDefault="00000000">
      <w:pPr>
        <w:keepNext/>
        <w:spacing w:before="80"/>
        <w:jc w:val="center"/>
      </w:pPr>
      <w:r>
        <w:rPr>
          <w:noProof/>
        </w:rPr>
        <w:lastRenderedPageBreak/>
        <w:drawing>
          <wp:inline distT="0" distB="0" distL="0" distR="0" wp14:anchorId="6FD4D9A5" wp14:editId="53AE70DF">
            <wp:extent cx="3048000" cy="2533650"/>
            <wp:effectExtent l="0" t="0" r="0" b="0"/>
            <wp:docPr id="1918609883"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2533650"/>
                    </a:xfrm>
                    <a:prstGeom prst="rect">
                      <a:avLst/>
                    </a:prstGeom>
                  </pic:spPr>
                </pic:pic>
              </a:graphicData>
            </a:graphic>
          </wp:inline>
        </w:drawing>
      </w:r>
    </w:p>
    <w:p w14:paraId="0B5DB3BC" w14:textId="77777777" w:rsidR="00E515B6" w:rsidRDefault="00000000">
      <w:pPr>
        <w:spacing w:before="80" w:after="200"/>
        <w:jc w:val="both"/>
      </w:pPr>
      <w:r>
        <w:rPr>
          <w:sz w:val="16"/>
          <w:szCs w:val="16"/>
        </w:rPr>
        <w:t>Fig. 2.  Batch evaluation flow.</w:t>
      </w:r>
    </w:p>
    <w:p w14:paraId="24C4F53C" w14:textId="77777777" w:rsidR="00E515B6" w:rsidRDefault="00000000">
      <w:pPr>
        <w:pStyle w:val="Heading2"/>
      </w:pPr>
      <w:r>
        <w:t>F. Persistence</w:t>
      </w:r>
    </w:p>
    <w:p w14:paraId="3300D2A5" w14:textId="77777777" w:rsidR="00E515B6" w:rsidRDefault="00000000">
      <w:pPr>
        <w:spacing w:after="120" w:line="228" w:lineRule="auto"/>
        <w:ind w:firstLine="288"/>
        <w:jc w:val="both"/>
      </w:pPr>
      <w:r>
        <w:t>Test runs, judge scores and batch results are all saved in a local data store made of JSON files. This keeps the project free of extra dependencies and simple to reproduce, and it can be upgraded to SQL or PostgreSQL later. The History screen reads from the store, so past evaluations can be reviewed, filtered and compared.</w:t>
      </w:r>
    </w:p>
    <w:p w14:paraId="419DC13C" w14:textId="77777777" w:rsidR="00E515B6" w:rsidRDefault="00000000">
      <w:pPr>
        <w:pStyle w:val="Heading1"/>
      </w:pPr>
      <w:r>
        <w:t>IV. EXPERIMENTAL SETUP AND RESULTS</w:t>
      </w:r>
    </w:p>
    <w:p w14:paraId="5C0AE49A" w14:textId="77777777" w:rsidR="00E515B6" w:rsidRDefault="00000000">
      <w:pPr>
        <w:pStyle w:val="Heading2"/>
      </w:pPr>
      <w:r>
        <w:t>A. Software and Hardware Environment</w:t>
      </w:r>
    </w:p>
    <w:p w14:paraId="28F0BE90" w14:textId="77777777" w:rsidR="00E515B6" w:rsidRDefault="00000000">
      <w:pPr>
        <w:spacing w:after="120" w:line="228" w:lineRule="auto"/>
        <w:ind w:firstLine="288"/>
        <w:jc w:val="both"/>
      </w:pPr>
      <w:r>
        <w:t xml:space="preserve">We built and ran </w:t>
      </w:r>
      <w:proofErr w:type="spellStart"/>
      <w:r>
        <w:t>PromptBench</w:t>
      </w:r>
      <w:proofErr w:type="spellEnd"/>
      <w:r>
        <w:t xml:space="preserve"> with the software and hardware listed in Table I. Both providers are used through their free API tiers, and the </w:t>
      </w:r>
      <w:proofErr w:type="spellStart"/>
      <w:r>
        <w:t>Vercel</w:t>
      </w:r>
      <w:proofErr w:type="spellEnd"/>
      <w:r>
        <w:t xml:space="preserve"> AI SDK [13] handles provider abstraction. The machine requirements are modest because the models run on the providers’ servers, but an internet connection is needed for the API calls.</w:t>
      </w:r>
    </w:p>
    <w:p w14:paraId="36CB7341" w14:textId="77777777" w:rsidR="00E515B6" w:rsidRDefault="00000000">
      <w:pPr>
        <w:keepNext/>
        <w:spacing w:before="120" w:after="40"/>
        <w:jc w:val="center"/>
      </w:pPr>
      <w:r>
        <w:rPr>
          <w:b/>
          <w:bCs/>
          <w:smallCaps/>
          <w:sz w:val="18"/>
          <w:szCs w:val="18"/>
        </w:rPr>
        <w:t>TABLE I</w:t>
      </w:r>
    </w:p>
    <w:p w14:paraId="36114F65" w14:textId="77777777" w:rsidR="00E515B6" w:rsidRDefault="00000000">
      <w:pPr>
        <w:keepNext/>
        <w:spacing w:after="80"/>
        <w:jc w:val="center"/>
      </w:pPr>
      <w:r>
        <w:rPr>
          <w:b/>
          <w:bCs/>
          <w:sz w:val="18"/>
          <w:szCs w:val="18"/>
        </w:rPr>
        <w:t>Development and Runtime Environment</w:t>
      </w:r>
    </w:p>
    <w:tbl>
      <w:tblPr>
        <w:tblW w:w="4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80"/>
      </w:tblGrid>
      <w:tr w:rsidR="00E515B6" w14:paraId="28FFBB1D" w14:textId="77777777">
        <w:tblPrEx>
          <w:tblCellMar>
            <w:top w:w="0" w:type="dxa"/>
            <w:bottom w:w="0" w:type="dxa"/>
          </w:tblCellMar>
        </w:tblPrEx>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50" w:type="dxa"/>
              <w:left w:w="80" w:type="dxa"/>
              <w:bottom w:w="50" w:type="dxa"/>
              <w:right w:w="80" w:type="dxa"/>
            </w:tcMar>
          </w:tcPr>
          <w:p w14:paraId="511F93CE" w14:textId="77777777" w:rsidR="00E515B6" w:rsidRDefault="00000000">
            <w:pPr>
              <w:jc w:val="center"/>
            </w:pPr>
            <w:r>
              <w:rPr>
                <w:b/>
                <w:bCs/>
                <w:sz w:val="16"/>
                <w:szCs w:val="16"/>
              </w:rPr>
              <w:t>Component</w:t>
            </w:r>
          </w:p>
        </w:tc>
        <w:tc>
          <w:tcPr>
            <w:tcW w:w="3380" w:type="dxa"/>
            <w:tcBorders>
              <w:top w:val="single" w:sz="4" w:space="0" w:color="000000"/>
              <w:left w:val="single" w:sz="4" w:space="0" w:color="000000"/>
              <w:bottom w:val="single" w:sz="4" w:space="0" w:color="000000"/>
              <w:right w:val="single" w:sz="4" w:space="0" w:color="000000"/>
            </w:tcBorders>
            <w:shd w:val="clear" w:color="auto" w:fill="DDDDDD"/>
            <w:tcMar>
              <w:top w:w="50" w:type="dxa"/>
              <w:left w:w="80" w:type="dxa"/>
              <w:bottom w:w="50" w:type="dxa"/>
              <w:right w:w="80" w:type="dxa"/>
            </w:tcMar>
          </w:tcPr>
          <w:p w14:paraId="437635EE" w14:textId="77777777" w:rsidR="00E515B6" w:rsidRDefault="00000000">
            <w:pPr>
              <w:jc w:val="center"/>
            </w:pPr>
            <w:r>
              <w:rPr>
                <w:b/>
                <w:bCs/>
                <w:sz w:val="16"/>
                <w:szCs w:val="16"/>
              </w:rPr>
              <w:t>Specification</w:t>
            </w:r>
          </w:p>
        </w:tc>
      </w:tr>
      <w:tr w:rsidR="00E515B6" w14:paraId="6F3CA29A"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B9FE3B" w14:textId="77777777" w:rsidR="00E515B6" w:rsidRDefault="00000000">
            <w:r>
              <w:rPr>
                <w:sz w:val="16"/>
                <w:szCs w:val="16"/>
              </w:rPr>
              <w:t>Runtime</w:t>
            </w:r>
          </w:p>
        </w:tc>
        <w:tc>
          <w:tcPr>
            <w:tcW w:w="3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5B0E33" w14:textId="77777777" w:rsidR="00E515B6" w:rsidRDefault="00000000">
            <w:pPr>
              <w:jc w:val="center"/>
            </w:pPr>
            <w:r>
              <w:rPr>
                <w:sz w:val="16"/>
                <w:szCs w:val="16"/>
              </w:rPr>
              <w:t>Node.js 18+ and TypeScript</w:t>
            </w:r>
          </w:p>
        </w:tc>
      </w:tr>
      <w:tr w:rsidR="00E515B6" w14:paraId="68AC61B9"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36D354" w14:textId="77777777" w:rsidR="00E515B6" w:rsidRDefault="00000000">
            <w:r>
              <w:rPr>
                <w:sz w:val="16"/>
                <w:szCs w:val="16"/>
              </w:rPr>
              <w:t>Framework</w:t>
            </w:r>
          </w:p>
        </w:tc>
        <w:tc>
          <w:tcPr>
            <w:tcW w:w="3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55E7DA" w14:textId="77777777" w:rsidR="00E515B6" w:rsidRDefault="00000000">
            <w:pPr>
              <w:jc w:val="center"/>
            </w:pPr>
            <w:r>
              <w:rPr>
                <w:sz w:val="16"/>
                <w:szCs w:val="16"/>
              </w:rPr>
              <w:t>Next.js (React, App Router)</w:t>
            </w:r>
          </w:p>
        </w:tc>
      </w:tr>
      <w:tr w:rsidR="00E515B6" w14:paraId="668D9D0C"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2DD3A5" w14:textId="77777777" w:rsidR="00E515B6" w:rsidRDefault="00000000">
            <w:r>
              <w:rPr>
                <w:sz w:val="16"/>
                <w:szCs w:val="16"/>
              </w:rPr>
              <w:t>LLM providers</w:t>
            </w:r>
          </w:p>
        </w:tc>
        <w:tc>
          <w:tcPr>
            <w:tcW w:w="3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1D27D3" w14:textId="77777777" w:rsidR="00E515B6" w:rsidRDefault="00000000">
            <w:pPr>
              <w:jc w:val="center"/>
            </w:pPr>
            <w:r>
              <w:rPr>
                <w:sz w:val="16"/>
                <w:szCs w:val="16"/>
              </w:rPr>
              <w:t xml:space="preserve">Google Gemini API and </w:t>
            </w:r>
            <w:proofErr w:type="spellStart"/>
            <w:r>
              <w:rPr>
                <w:sz w:val="16"/>
                <w:szCs w:val="16"/>
              </w:rPr>
              <w:t>Groq</w:t>
            </w:r>
            <w:proofErr w:type="spellEnd"/>
            <w:r>
              <w:rPr>
                <w:sz w:val="16"/>
                <w:szCs w:val="16"/>
              </w:rPr>
              <w:t xml:space="preserve"> API (free tiers)</w:t>
            </w:r>
          </w:p>
        </w:tc>
      </w:tr>
      <w:tr w:rsidR="00E515B6" w14:paraId="0BE2EBA0"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CEB591" w14:textId="77777777" w:rsidR="00E515B6" w:rsidRDefault="00000000">
            <w:r>
              <w:rPr>
                <w:sz w:val="16"/>
                <w:szCs w:val="16"/>
              </w:rPr>
              <w:t>Abstraction</w:t>
            </w:r>
          </w:p>
        </w:tc>
        <w:tc>
          <w:tcPr>
            <w:tcW w:w="3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185E35" w14:textId="77777777" w:rsidR="00E515B6" w:rsidRDefault="00000000">
            <w:pPr>
              <w:jc w:val="center"/>
            </w:pPr>
            <w:proofErr w:type="spellStart"/>
            <w:r>
              <w:rPr>
                <w:sz w:val="16"/>
                <w:szCs w:val="16"/>
              </w:rPr>
              <w:t>Vercel</w:t>
            </w:r>
            <w:proofErr w:type="spellEnd"/>
            <w:r>
              <w:rPr>
                <w:sz w:val="16"/>
                <w:szCs w:val="16"/>
              </w:rPr>
              <w:t xml:space="preserve"> AI SDK</w:t>
            </w:r>
          </w:p>
        </w:tc>
      </w:tr>
      <w:tr w:rsidR="00E515B6" w14:paraId="43FBD244"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7620D5" w14:textId="77777777" w:rsidR="00E515B6" w:rsidRDefault="00000000">
            <w:r>
              <w:rPr>
                <w:sz w:val="16"/>
                <w:szCs w:val="16"/>
              </w:rPr>
              <w:t>Storage</w:t>
            </w:r>
          </w:p>
        </w:tc>
        <w:tc>
          <w:tcPr>
            <w:tcW w:w="3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D65EB4" w14:textId="77777777" w:rsidR="00E515B6" w:rsidRDefault="00000000">
            <w:pPr>
              <w:jc w:val="center"/>
            </w:pPr>
            <w:r>
              <w:rPr>
                <w:sz w:val="16"/>
                <w:szCs w:val="16"/>
              </w:rPr>
              <w:t>JSON files (upgradeable to SQL/PostgreSQL)</w:t>
            </w:r>
          </w:p>
        </w:tc>
      </w:tr>
      <w:tr w:rsidR="00E515B6" w14:paraId="016D4851"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BE615B" w14:textId="77777777" w:rsidR="00E515B6" w:rsidRDefault="00000000">
            <w:r>
              <w:rPr>
                <w:sz w:val="16"/>
                <w:szCs w:val="16"/>
              </w:rPr>
              <w:t>Editor</w:t>
            </w:r>
          </w:p>
        </w:tc>
        <w:tc>
          <w:tcPr>
            <w:tcW w:w="3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A9B40D" w14:textId="77777777" w:rsidR="00E515B6" w:rsidRDefault="00000000">
            <w:pPr>
              <w:jc w:val="center"/>
            </w:pPr>
            <w:r>
              <w:rPr>
                <w:sz w:val="16"/>
                <w:szCs w:val="16"/>
              </w:rPr>
              <w:t>VS Code or equivalent IDE</w:t>
            </w:r>
          </w:p>
        </w:tc>
      </w:tr>
      <w:tr w:rsidR="00E515B6" w14:paraId="076F0A28"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7C0CFD" w14:textId="77777777" w:rsidR="00E515B6" w:rsidRDefault="00000000">
            <w:r>
              <w:rPr>
                <w:sz w:val="16"/>
                <w:szCs w:val="16"/>
              </w:rPr>
              <w:t>Memory</w:t>
            </w:r>
          </w:p>
        </w:tc>
        <w:tc>
          <w:tcPr>
            <w:tcW w:w="3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0B1D48" w14:textId="77777777" w:rsidR="00E515B6" w:rsidRDefault="00000000">
            <w:pPr>
              <w:jc w:val="center"/>
            </w:pPr>
            <w:r>
              <w:rPr>
                <w:sz w:val="16"/>
                <w:szCs w:val="16"/>
              </w:rPr>
              <w:t>Minimum 4 GB RAM</w:t>
            </w:r>
          </w:p>
        </w:tc>
      </w:tr>
      <w:tr w:rsidR="00E515B6" w14:paraId="630FA64B"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E56072" w14:textId="77777777" w:rsidR="00E515B6" w:rsidRDefault="00000000">
            <w:r>
              <w:rPr>
                <w:sz w:val="16"/>
                <w:szCs w:val="16"/>
              </w:rPr>
              <w:t>Processor</w:t>
            </w:r>
          </w:p>
        </w:tc>
        <w:tc>
          <w:tcPr>
            <w:tcW w:w="3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B1CCED" w14:textId="77777777" w:rsidR="00E515B6" w:rsidRDefault="00000000">
            <w:pPr>
              <w:jc w:val="center"/>
            </w:pPr>
            <w:r>
              <w:rPr>
                <w:sz w:val="16"/>
                <w:szCs w:val="16"/>
              </w:rPr>
              <w:t>Intel i3 or above</w:t>
            </w:r>
          </w:p>
        </w:tc>
      </w:tr>
      <w:tr w:rsidR="00E515B6" w14:paraId="2C4DFF38"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6B715F" w14:textId="77777777" w:rsidR="00E515B6" w:rsidRDefault="00000000">
            <w:r>
              <w:rPr>
                <w:sz w:val="16"/>
                <w:szCs w:val="16"/>
              </w:rPr>
              <w:t>Disk space</w:t>
            </w:r>
          </w:p>
        </w:tc>
        <w:tc>
          <w:tcPr>
            <w:tcW w:w="3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E93975" w14:textId="77777777" w:rsidR="00E515B6" w:rsidRDefault="00000000">
            <w:pPr>
              <w:jc w:val="center"/>
            </w:pPr>
            <w:r>
              <w:rPr>
                <w:sz w:val="16"/>
                <w:szCs w:val="16"/>
              </w:rPr>
              <w:t>500 MB for project and dependencies</w:t>
            </w:r>
          </w:p>
        </w:tc>
      </w:tr>
      <w:tr w:rsidR="00E515B6" w14:paraId="6D7B8F07"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44C649" w14:textId="77777777" w:rsidR="00E515B6" w:rsidRDefault="00000000">
            <w:r>
              <w:rPr>
                <w:sz w:val="16"/>
                <w:szCs w:val="16"/>
              </w:rPr>
              <w:t>Network</w:t>
            </w:r>
          </w:p>
        </w:tc>
        <w:tc>
          <w:tcPr>
            <w:tcW w:w="3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77A82D" w14:textId="77777777" w:rsidR="00E515B6" w:rsidRDefault="00000000">
            <w:pPr>
              <w:jc w:val="center"/>
            </w:pPr>
            <w:r>
              <w:rPr>
                <w:sz w:val="16"/>
                <w:szCs w:val="16"/>
              </w:rPr>
              <w:t>Internet connection required</w:t>
            </w:r>
          </w:p>
        </w:tc>
      </w:tr>
    </w:tbl>
    <w:p w14:paraId="382AE0BA" w14:textId="77777777" w:rsidR="00E515B6" w:rsidRDefault="00E515B6">
      <w:pPr>
        <w:spacing w:after="100"/>
      </w:pPr>
    </w:p>
    <w:p w14:paraId="5FFC09AC" w14:textId="77777777" w:rsidR="00E515B6" w:rsidRDefault="00000000">
      <w:pPr>
        <w:pStyle w:val="Heading2"/>
      </w:pPr>
      <w:r>
        <w:t>B. Dashboard Implementation</w:t>
      </w:r>
    </w:p>
    <w:p w14:paraId="630BFDF9" w14:textId="77777777" w:rsidR="00E515B6" w:rsidRDefault="00000000">
      <w:pPr>
        <w:spacing w:after="120" w:line="228" w:lineRule="auto"/>
        <w:ind w:firstLine="288"/>
        <w:jc w:val="both"/>
      </w:pPr>
      <w:r>
        <w:t xml:space="preserve">Each of the five screens is made from reusable React components. On New Test, the user enters a prompt and picks the providers. Results </w:t>
      </w:r>
      <w:proofErr w:type="gramStart"/>
      <w:r>
        <w:t>shows</w:t>
      </w:r>
      <w:proofErr w:type="gramEnd"/>
      <w:r>
        <w:t xml:space="preserve"> the responses side by side along with the fields in Table II. Compare Prompts puts several prompt variants next to each other. Batch Evaluation runs a dataset and reports accuracy for each model, and History lists the saved runs so they can be reviewed and filtered.</w:t>
      </w:r>
    </w:p>
    <w:p w14:paraId="5E1B2846" w14:textId="77777777" w:rsidR="00E515B6" w:rsidRDefault="00000000">
      <w:pPr>
        <w:keepNext/>
        <w:spacing w:before="120" w:after="40"/>
        <w:jc w:val="center"/>
      </w:pPr>
      <w:r>
        <w:rPr>
          <w:b/>
          <w:bCs/>
          <w:smallCaps/>
          <w:sz w:val="18"/>
          <w:szCs w:val="18"/>
        </w:rPr>
        <w:t>TABLE II</w:t>
      </w:r>
    </w:p>
    <w:p w14:paraId="52E4F812" w14:textId="77777777" w:rsidR="00E515B6" w:rsidRDefault="00000000">
      <w:pPr>
        <w:keepNext/>
        <w:spacing w:after="80"/>
        <w:jc w:val="center"/>
      </w:pPr>
      <w:r>
        <w:rPr>
          <w:b/>
          <w:bCs/>
          <w:sz w:val="18"/>
          <w:szCs w:val="18"/>
        </w:rPr>
        <w:t>Data Recorded for Each Test Run</w:t>
      </w:r>
    </w:p>
    <w:tbl>
      <w:tblPr>
        <w:tblW w:w="4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80"/>
      </w:tblGrid>
      <w:tr w:rsidR="00E515B6" w14:paraId="489E3310" w14:textId="77777777">
        <w:tblPrEx>
          <w:tblCellMar>
            <w:top w:w="0" w:type="dxa"/>
            <w:bottom w:w="0" w:type="dxa"/>
          </w:tblCellMar>
        </w:tblPrEx>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50" w:type="dxa"/>
              <w:left w:w="80" w:type="dxa"/>
              <w:bottom w:w="50" w:type="dxa"/>
              <w:right w:w="80" w:type="dxa"/>
            </w:tcMar>
          </w:tcPr>
          <w:p w14:paraId="350DA0EF" w14:textId="77777777" w:rsidR="00E515B6" w:rsidRDefault="00000000">
            <w:pPr>
              <w:jc w:val="center"/>
            </w:pPr>
            <w:r>
              <w:rPr>
                <w:b/>
                <w:bCs/>
                <w:sz w:val="16"/>
                <w:szCs w:val="16"/>
              </w:rPr>
              <w:t>Field</w:t>
            </w:r>
          </w:p>
        </w:tc>
        <w:tc>
          <w:tcPr>
            <w:tcW w:w="3380" w:type="dxa"/>
            <w:tcBorders>
              <w:top w:val="single" w:sz="4" w:space="0" w:color="000000"/>
              <w:left w:val="single" w:sz="4" w:space="0" w:color="000000"/>
              <w:bottom w:val="single" w:sz="4" w:space="0" w:color="000000"/>
              <w:right w:val="single" w:sz="4" w:space="0" w:color="000000"/>
            </w:tcBorders>
            <w:shd w:val="clear" w:color="auto" w:fill="DDDDDD"/>
            <w:tcMar>
              <w:top w:w="50" w:type="dxa"/>
              <w:left w:w="80" w:type="dxa"/>
              <w:bottom w:w="50" w:type="dxa"/>
              <w:right w:w="80" w:type="dxa"/>
            </w:tcMar>
          </w:tcPr>
          <w:p w14:paraId="66E3B4DB" w14:textId="77777777" w:rsidR="00E515B6" w:rsidRDefault="00000000">
            <w:pPr>
              <w:jc w:val="center"/>
            </w:pPr>
            <w:r>
              <w:rPr>
                <w:b/>
                <w:bCs/>
                <w:sz w:val="16"/>
                <w:szCs w:val="16"/>
              </w:rPr>
              <w:t>Description</w:t>
            </w:r>
          </w:p>
        </w:tc>
      </w:tr>
      <w:tr w:rsidR="00E515B6" w14:paraId="5842592F"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19D02A" w14:textId="77777777" w:rsidR="00E515B6" w:rsidRDefault="00000000">
            <w:r>
              <w:rPr>
                <w:sz w:val="16"/>
                <w:szCs w:val="16"/>
              </w:rPr>
              <w:t>Response</w:t>
            </w:r>
          </w:p>
        </w:tc>
        <w:tc>
          <w:tcPr>
            <w:tcW w:w="3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53D5EB" w14:textId="77777777" w:rsidR="00E515B6" w:rsidRDefault="00000000">
            <w:pPr>
              <w:jc w:val="center"/>
            </w:pPr>
            <w:r>
              <w:rPr>
                <w:sz w:val="16"/>
                <w:szCs w:val="16"/>
              </w:rPr>
              <w:t>Full text returned by the model</w:t>
            </w:r>
          </w:p>
        </w:tc>
      </w:tr>
      <w:tr w:rsidR="00E515B6" w14:paraId="55A502EE"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643E7D" w14:textId="77777777" w:rsidR="00E515B6" w:rsidRDefault="00000000">
            <w:r>
              <w:rPr>
                <w:sz w:val="16"/>
                <w:szCs w:val="16"/>
              </w:rPr>
              <w:t>Token usage</w:t>
            </w:r>
          </w:p>
        </w:tc>
        <w:tc>
          <w:tcPr>
            <w:tcW w:w="3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BDEFCB" w14:textId="77777777" w:rsidR="00E515B6" w:rsidRDefault="00000000">
            <w:pPr>
              <w:jc w:val="center"/>
            </w:pPr>
            <w:r>
              <w:rPr>
                <w:sz w:val="16"/>
                <w:szCs w:val="16"/>
              </w:rPr>
              <w:t>Prompt and completion token counts</w:t>
            </w:r>
          </w:p>
        </w:tc>
      </w:tr>
      <w:tr w:rsidR="00E515B6" w14:paraId="10175BEF"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6E498A" w14:textId="77777777" w:rsidR="00E515B6" w:rsidRDefault="00000000">
            <w:r>
              <w:rPr>
                <w:sz w:val="16"/>
                <w:szCs w:val="16"/>
              </w:rPr>
              <w:t>Latency</w:t>
            </w:r>
          </w:p>
        </w:tc>
        <w:tc>
          <w:tcPr>
            <w:tcW w:w="3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080E3F" w14:textId="77777777" w:rsidR="00E515B6" w:rsidRDefault="00000000">
            <w:pPr>
              <w:jc w:val="center"/>
            </w:pPr>
            <w:r>
              <w:rPr>
                <w:sz w:val="16"/>
                <w:szCs w:val="16"/>
              </w:rPr>
              <w:t>Server-side wall-clock time, Eq. (1)</w:t>
            </w:r>
          </w:p>
        </w:tc>
      </w:tr>
      <w:tr w:rsidR="00E515B6" w14:paraId="086D6256"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2E9984" w14:textId="77777777" w:rsidR="00E515B6" w:rsidRDefault="00000000">
            <w:r>
              <w:rPr>
                <w:sz w:val="16"/>
                <w:szCs w:val="16"/>
              </w:rPr>
              <w:t>Cost</w:t>
            </w:r>
          </w:p>
        </w:tc>
        <w:tc>
          <w:tcPr>
            <w:tcW w:w="3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C457E8" w14:textId="77777777" w:rsidR="00E515B6" w:rsidRDefault="00000000">
            <w:pPr>
              <w:jc w:val="center"/>
            </w:pPr>
            <w:r>
              <w:rPr>
                <w:sz w:val="16"/>
                <w:szCs w:val="16"/>
              </w:rPr>
              <w:t>Estimated cost from token counts, Eq. (2)</w:t>
            </w:r>
          </w:p>
        </w:tc>
      </w:tr>
      <w:tr w:rsidR="00E515B6" w14:paraId="61B74A9E"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6224E1" w14:textId="77777777" w:rsidR="00E515B6" w:rsidRDefault="00000000">
            <w:r>
              <w:rPr>
                <w:sz w:val="16"/>
                <w:szCs w:val="16"/>
              </w:rPr>
              <w:t>Quality score</w:t>
            </w:r>
          </w:p>
        </w:tc>
        <w:tc>
          <w:tcPr>
            <w:tcW w:w="33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2DA8F3" w14:textId="77777777" w:rsidR="00E515B6" w:rsidRDefault="00000000">
            <w:pPr>
              <w:jc w:val="center"/>
            </w:pPr>
            <w:r>
              <w:rPr>
                <w:sz w:val="16"/>
                <w:szCs w:val="16"/>
              </w:rPr>
              <w:t>Score from the LLM-as-judge grader</w:t>
            </w:r>
          </w:p>
        </w:tc>
      </w:tr>
    </w:tbl>
    <w:p w14:paraId="4FB66F28" w14:textId="77777777" w:rsidR="00E515B6" w:rsidRDefault="00E515B6">
      <w:pPr>
        <w:spacing w:after="100"/>
      </w:pPr>
    </w:p>
    <w:p w14:paraId="24D3309E" w14:textId="77777777" w:rsidR="00E515B6" w:rsidRDefault="00000000">
      <w:pPr>
        <w:pStyle w:val="Heading2"/>
      </w:pPr>
      <w:r>
        <w:t>C. Evaluation Protocol</w:t>
      </w:r>
    </w:p>
    <w:p w14:paraId="54FCE421" w14:textId="77777777" w:rsidR="00E515B6" w:rsidRDefault="00000000">
      <w:pPr>
        <w:spacing w:after="120" w:line="228" w:lineRule="auto"/>
        <w:ind w:firstLine="288"/>
        <w:jc w:val="both"/>
      </w:pPr>
      <w:r>
        <w:t xml:space="preserve">We judge quality in two ways. For open-ended prompts we use the LLM-as-judge quality score. For batch mode we use our hand-curated question–answer dataset, whose reference answers let the factuality grader produce accuracy as in Eq. (3). Latency and cost are recorded for every call. Table III compares </w:t>
      </w:r>
      <w:proofErr w:type="spellStart"/>
      <w:r>
        <w:t>PromptBench</w:t>
      </w:r>
      <w:proofErr w:type="spellEnd"/>
      <w:r>
        <w:t xml:space="preserve"> with the two kinds of approaches described in Section I, and Table IV lists what we report for each model in the batch run.</w:t>
      </w:r>
    </w:p>
    <w:p w14:paraId="04C8B1D0" w14:textId="77777777" w:rsidR="00E515B6" w:rsidRDefault="00000000">
      <w:pPr>
        <w:keepNext/>
        <w:spacing w:before="120" w:after="40"/>
        <w:jc w:val="center"/>
      </w:pPr>
      <w:r>
        <w:rPr>
          <w:b/>
          <w:bCs/>
          <w:smallCaps/>
          <w:sz w:val="18"/>
          <w:szCs w:val="18"/>
        </w:rPr>
        <w:t>TABLE III</w:t>
      </w:r>
    </w:p>
    <w:p w14:paraId="225A3AA7" w14:textId="77777777" w:rsidR="00E515B6" w:rsidRDefault="00000000">
      <w:pPr>
        <w:keepNext/>
        <w:spacing w:after="80"/>
        <w:jc w:val="center"/>
      </w:pPr>
      <w:r>
        <w:rPr>
          <w:b/>
          <w:bCs/>
          <w:sz w:val="18"/>
          <w:szCs w:val="18"/>
        </w:rPr>
        <w:t>Qualitative Comparison of Evaluation Approaches</w:t>
      </w:r>
    </w:p>
    <w:tbl>
      <w:tblPr>
        <w:tblW w:w="4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1000"/>
        <w:gridCol w:w="1160"/>
        <w:gridCol w:w="1240"/>
      </w:tblGrid>
      <w:tr w:rsidR="00E515B6" w14:paraId="01E1E8E5" w14:textId="77777777">
        <w:tblPrEx>
          <w:tblCellMar>
            <w:top w:w="0" w:type="dxa"/>
            <w:bottom w:w="0" w:type="dxa"/>
          </w:tblCellMar>
        </w:tblPrEx>
        <w:trPr>
          <w:tblHeader/>
          <w:jc w:val="center"/>
        </w:trPr>
        <w:tc>
          <w:tcPr>
            <w:tcW w:w="1480" w:type="dxa"/>
            <w:tcBorders>
              <w:top w:val="single" w:sz="4" w:space="0" w:color="000000"/>
              <w:left w:val="single" w:sz="4" w:space="0" w:color="000000"/>
              <w:bottom w:val="single" w:sz="4" w:space="0" w:color="000000"/>
              <w:right w:val="single" w:sz="4" w:space="0" w:color="000000"/>
            </w:tcBorders>
            <w:shd w:val="clear" w:color="auto" w:fill="DDDDDD"/>
            <w:tcMar>
              <w:top w:w="50" w:type="dxa"/>
              <w:left w:w="80" w:type="dxa"/>
              <w:bottom w:w="50" w:type="dxa"/>
              <w:right w:w="80" w:type="dxa"/>
            </w:tcMar>
          </w:tcPr>
          <w:p w14:paraId="7A88D415" w14:textId="77777777" w:rsidR="00E515B6" w:rsidRDefault="00000000">
            <w:pPr>
              <w:jc w:val="center"/>
            </w:pPr>
            <w:r>
              <w:rPr>
                <w:b/>
                <w:bCs/>
                <w:sz w:val="16"/>
                <w:szCs w:val="16"/>
              </w:rPr>
              <w:t>Capability</w:t>
            </w:r>
          </w:p>
        </w:tc>
        <w:tc>
          <w:tcPr>
            <w:tcW w:w="1000" w:type="dxa"/>
            <w:tcBorders>
              <w:top w:val="single" w:sz="4" w:space="0" w:color="000000"/>
              <w:left w:val="single" w:sz="4" w:space="0" w:color="000000"/>
              <w:bottom w:val="single" w:sz="4" w:space="0" w:color="000000"/>
              <w:right w:val="single" w:sz="4" w:space="0" w:color="000000"/>
            </w:tcBorders>
            <w:shd w:val="clear" w:color="auto" w:fill="DDDDDD"/>
            <w:tcMar>
              <w:top w:w="50" w:type="dxa"/>
              <w:left w:w="80" w:type="dxa"/>
              <w:bottom w:w="50" w:type="dxa"/>
              <w:right w:w="80" w:type="dxa"/>
            </w:tcMar>
          </w:tcPr>
          <w:p w14:paraId="6E3D2B67" w14:textId="77777777" w:rsidR="00E515B6" w:rsidRDefault="00000000">
            <w:pPr>
              <w:jc w:val="center"/>
            </w:pPr>
            <w:r>
              <w:rPr>
                <w:b/>
                <w:bCs/>
                <w:sz w:val="16"/>
                <w:szCs w:val="16"/>
              </w:rPr>
              <w:t>Manual consoles</w:t>
            </w:r>
          </w:p>
        </w:tc>
        <w:tc>
          <w:tcPr>
            <w:tcW w:w="1160" w:type="dxa"/>
            <w:tcBorders>
              <w:top w:val="single" w:sz="4" w:space="0" w:color="000000"/>
              <w:left w:val="single" w:sz="4" w:space="0" w:color="000000"/>
              <w:bottom w:val="single" w:sz="4" w:space="0" w:color="000000"/>
              <w:right w:val="single" w:sz="4" w:space="0" w:color="000000"/>
            </w:tcBorders>
            <w:shd w:val="clear" w:color="auto" w:fill="DDDDDD"/>
            <w:tcMar>
              <w:top w:w="50" w:type="dxa"/>
              <w:left w:w="80" w:type="dxa"/>
              <w:bottom w:w="50" w:type="dxa"/>
              <w:right w:w="80" w:type="dxa"/>
            </w:tcMar>
          </w:tcPr>
          <w:p w14:paraId="3BB6FF56" w14:textId="77777777" w:rsidR="00E515B6" w:rsidRDefault="00000000">
            <w:pPr>
              <w:jc w:val="center"/>
            </w:pPr>
            <w:r>
              <w:rPr>
                <w:b/>
                <w:bCs/>
                <w:sz w:val="16"/>
                <w:szCs w:val="16"/>
              </w:rPr>
              <w:t>Benchmark frameworks</w:t>
            </w:r>
          </w:p>
        </w:tc>
        <w:tc>
          <w:tcPr>
            <w:tcW w:w="1240" w:type="dxa"/>
            <w:tcBorders>
              <w:top w:val="single" w:sz="4" w:space="0" w:color="000000"/>
              <w:left w:val="single" w:sz="4" w:space="0" w:color="000000"/>
              <w:bottom w:val="single" w:sz="4" w:space="0" w:color="000000"/>
              <w:right w:val="single" w:sz="4" w:space="0" w:color="000000"/>
            </w:tcBorders>
            <w:shd w:val="clear" w:color="auto" w:fill="DDDDDD"/>
            <w:tcMar>
              <w:top w:w="50" w:type="dxa"/>
              <w:left w:w="80" w:type="dxa"/>
              <w:bottom w:w="50" w:type="dxa"/>
              <w:right w:w="80" w:type="dxa"/>
            </w:tcMar>
          </w:tcPr>
          <w:p w14:paraId="766E55E3" w14:textId="77777777" w:rsidR="00E515B6" w:rsidRDefault="00000000">
            <w:pPr>
              <w:jc w:val="center"/>
            </w:pPr>
            <w:proofErr w:type="spellStart"/>
            <w:r>
              <w:rPr>
                <w:b/>
                <w:bCs/>
                <w:sz w:val="16"/>
                <w:szCs w:val="16"/>
              </w:rPr>
              <w:t>PromptBench</w:t>
            </w:r>
            <w:proofErr w:type="spellEnd"/>
          </w:p>
        </w:tc>
      </w:tr>
      <w:tr w:rsidR="00E515B6" w14:paraId="7A411075" w14:textId="77777777">
        <w:tblPrEx>
          <w:tblCellMar>
            <w:top w:w="0" w:type="dxa"/>
            <w:bottom w:w="0" w:type="dxa"/>
          </w:tblCellMar>
        </w:tblPrEx>
        <w:trPr>
          <w:cantSplit/>
          <w:jc w:val="center"/>
        </w:trPr>
        <w:tc>
          <w:tcPr>
            <w:tcW w:w="1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B03D62" w14:textId="77777777" w:rsidR="00E515B6" w:rsidRDefault="00000000">
            <w:r>
              <w:rPr>
                <w:sz w:val="16"/>
                <w:szCs w:val="16"/>
              </w:rPr>
              <w:t>Side-by-side providers</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2FA82D" w14:textId="77777777" w:rsidR="00E515B6" w:rsidRDefault="00000000">
            <w:pPr>
              <w:jc w:val="center"/>
            </w:pPr>
            <w:r>
              <w:rPr>
                <w:sz w:val="16"/>
                <w:szCs w:val="16"/>
              </w:rPr>
              <w:t>No</w:t>
            </w:r>
          </w:p>
        </w:tc>
        <w:tc>
          <w:tcPr>
            <w:tcW w:w="1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53B372" w14:textId="77777777" w:rsidR="00E515B6" w:rsidRDefault="00000000">
            <w:pPr>
              <w:jc w:val="center"/>
            </w:pPr>
            <w:r>
              <w:rPr>
                <w:sz w:val="16"/>
                <w:szCs w:val="16"/>
              </w:rPr>
              <w:t>Varies</w:t>
            </w:r>
          </w:p>
        </w:tc>
        <w:tc>
          <w:tcPr>
            <w:tcW w:w="12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17E1DF" w14:textId="77777777" w:rsidR="00E515B6" w:rsidRDefault="00000000">
            <w:pPr>
              <w:jc w:val="center"/>
            </w:pPr>
            <w:r>
              <w:rPr>
                <w:sz w:val="16"/>
                <w:szCs w:val="16"/>
              </w:rPr>
              <w:t>Yes</w:t>
            </w:r>
          </w:p>
        </w:tc>
      </w:tr>
      <w:tr w:rsidR="00E515B6" w14:paraId="0E440AC9" w14:textId="77777777">
        <w:tblPrEx>
          <w:tblCellMar>
            <w:top w:w="0" w:type="dxa"/>
            <w:bottom w:w="0" w:type="dxa"/>
          </w:tblCellMar>
        </w:tblPrEx>
        <w:trPr>
          <w:cantSplit/>
          <w:jc w:val="center"/>
        </w:trPr>
        <w:tc>
          <w:tcPr>
            <w:tcW w:w="1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2160A6" w14:textId="77777777" w:rsidR="00E515B6" w:rsidRDefault="00000000">
            <w:r>
              <w:rPr>
                <w:sz w:val="16"/>
                <w:szCs w:val="16"/>
              </w:rPr>
              <w:t>Interactive dashboard</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859BCA" w14:textId="77777777" w:rsidR="00E515B6" w:rsidRDefault="00000000">
            <w:pPr>
              <w:jc w:val="center"/>
            </w:pPr>
            <w:r>
              <w:rPr>
                <w:sz w:val="16"/>
                <w:szCs w:val="16"/>
              </w:rPr>
              <w:t>No</w:t>
            </w:r>
          </w:p>
        </w:tc>
        <w:tc>
          <w:tcPr>
            <w:tcW w:w="1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B68C45" w14:textId="77777777" w:rsidR="00E515B6" w:rsidRDefault="00000000">
            <w:pPr>
              <w:jc w:val="center"/>
            </w:pPr>
            <w:r>
              <w:rPr>
                <w:sz w:val="16"/>
                <w:szCs w:val="16"/>
              </w:rPr>
              <w:t>Rarely</w:t>
            </w:r>
          </w:p>
        </w:tc>
        <w:tc>
          <w:tcPr>
            <w:tcW w:w="12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2FFE85" w14:textId="77777777" w:rsidR="00E515B6" w:rsidRDefault="00000000">
            <w:pPr>
              <w:jc w:val="center"/>
            </w:pPr>
            <w:r>
              <w:rPr>
                <w:sz w:val="16"/>
                <w:szCs w:val="16"/>
              </w:rPr>
              <w:t>Yes</w:t>
            </w:r>
          </w:p>
        </w:tc>
      </w:tr>
      <w:tr w:rsidR="00E515B6" w14:paraId="19F8AD40" w14:textId="77777777">
        <w:tblPrEx>
          <w:tblCellMar>
            <w:top w:w="0" w:type="dxa"/>
            <w:bottom w:w="0" w:type="dxa"/>
          </w:tblCellMar>
        </w:tblPrEx>
        <w:trPr>
          <w:cantSplit/>
          <w:jc w:val="center"/>
        </w:trPr>
        <w:tc>
          <w:tcPr>
            <w:tcW w:w="1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5E8C05" w14:textId="77777777" w:rsidR="00E515B6" w:rsidRDefault="00000000">
            <w:r>
              <w:rPr>
                <w:sz w:val="16"/>
                <w:szCs w:val="16"/>
              </w:rPr>
              <w:t>Persistent history</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2E9533" w14:textId="77777777" w:rsidR="00E515B6" w:rsidRDefault="00000000">
            <w:pPr>
              <w:jc w:val="center"/>
            </w:pPr>
            <w:r>
              <w:rPr>
                <w:sz w:val="16"/>
                <w:szCs w:val="16"/>
              </w:rPr>
              <w:t>No</w:t>
            </w:r>
          </w:p>
        </w:tc>
        <w:tc>
          <w:tcPr>
            <w:tcW w:w="1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1EA942" w14:textId="77777777" w:rsidR="00E515B6" w:rsidRDefault="00000000">
            <w:pPr>
              <w:jc w:val="center"/>
            </w:pPr>
            <w:r>
              <w:rPr>
                <w:sz w:val="16"/>
                <w:szCs w:val="16"/>
              </w:rPr>
              <w:t>Varies</w:t>
            </w:r>
          </w:p>
        </w:tc>
        <w:tc>
          <w:tcPr>
            <w:tcW w:w="12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5019C1" w14:textId="77777777" w:rsidR="00E515B6" w:rsidRDefault="00000000">
            <w:pPr>
              <w:jc w:val="center"/>
            </w:pPr>
            <w:r>
              <w:rPr>
                <w:sz w:val="16"/>
                <w:szCs w:val="16"/>
              </w:rPr>
              <w:t>Yes</w:t>
            </w:r>
          </w:p>
        </w:tc>
      </w:tr>
      <w:tr w:rsidR="00E515B6" w14:paraId="59FCD5DB" w14:textId="77777777">
        <w:tblPrEx>
          <w:tblCellMar>
            <w:top w:w="0" w:type="dxa"/>
            <w:bottom w:w="0" w:type="dxa"/>
          </w:tblCellMar>
        </w:tblPrEx>
        <w:trPr>
          <w:cantSplit/>
          <w:jc w:val="center"/>
        </w:trPr>
        <w:tc>
          <w:tcPr>
            <w:tcW w:w="1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1B2333" w14:textId="77777777" w:rsidR="00E515B6" w:rsidRDefault="00000000">
            <w:r>
              <w:rPr>
                <w:sz w:val="16"/>
                <w:szCs w:val="16"/>
              </w:rPr>
              <w:t>Pluggable provider interface</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224926" w14:textId="77777777" w:rsidR="00E515B6" w:rsidRDefault="00000000">
            <w:pPr>
              <w:jc w:val="center"/>
            </w:pPr>
            <w:r>
              <w:rPr>
                <w:sz w:val="16"/>
                <w:szCs w:val="16"/>
              </w:rPr>
              <w:t>N/A</w:t>
            </w:r>
          </w:p>
        </w:tc>
        <w:tc>
          <w:tcPr>
            <w:tcW w:w="1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5D06C1" w14:textId="77777777" w:rsidR="00E515B6" w:rsidRDefault="00000000">
            <w:pPr>
              <w:jc w:val="center"/>
            </w:pPr>
            <w:r>
              <w:rPr>
                <w:sz w:val="16"/>
                <w:szCs w:val="16"/>
              </w:rPr>
              <w:t>Yes</w:t>
            </w:r>
          </w:p>
        </w:tc>
        <w:tc>
          <w:tcPr>
            <w:tcW w:w="12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D8ECAF" w14:textId="77777777" w:rsidR="00E515B6" w:rsidRDefault="00000000">
            <w:pPr>
              <w:jc w:val="center"/>
            </w:pPr>
            <w:r>
              <w:rPr>
                <w:sz w:val="16"/>
                <w:szCs w:val="16"/>
              </w:rPr>
              <w:t>Yes</w:t>
            </w:r>
          </w:p>
        </w:tc>
      </w:tr>
      <w:tr w:rsidR="00E515B6" w14:paraId="0B205A7B" w14:textId="77777777">
        <w:tblPrEx>
          <w:tblCellMar>
            <w:top w:w="0" w:type="dxa"/>
            <w:bottom w:w="0" w:type="dxa"/>
          </w:tblCellMar>
        </w:tblPrEx>
        <w:trPr>
          <w:cantSplit/>
          <w:jc w:val="center"/>
        </w:trPr>
        <w:tc>
          <w:tcPr>
            <w:tcW w:w="1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A51C0F" w14:textId="77777777" w:rsidR="00E515B6" w:rsidRDefault="00000000">
            <w:r>
              <w:rPr>
                <w:sz w:val="16"/>
                <w:szCs w:val="16"/>
              </w:rPr>
              <w:t>Batch reference scoring</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323BB4" w14:textId="77777777" w:rsidR="00E515B6" w:rsidRDefault="00000000">
            <w:pPr>
              <w:jc w:val="center"/>
            </w:pPr>
            <w:r>
              <w:rPr>
                <w:sz w:val="16"/>
                <w:szCs w:val="16"/>
              </w:rPr>
              <w:t>No</w:t>
            </w:r>
          </w:p>
        </w:tc>
        <w:tc>
          <w:tcPr>
            <w:tcW w:w="1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290A1C" w14:textId="77777777" w:rsidR="00E515B6" w:rsidRDefault="00000000">
            <w:pPr>
              <w:jc w:val="center"/>
            </w:pPr>
            <w:r>
              <w:rPr>
                <w:sz w:val="16"/>
                <w:szCs w:val="16"/>
              </w:rPr>
              <w:t>Yes</w:t>
            </w:r>
          </w:p>
        </w:tc>
        <w:tc>
          <w:tcPr>
            <w:tcW w:w="12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75A3F9" w14:textId="77777777" w:rsidR="00E515B6" w:rsidRDefault="00000000">
            <w:pPr>
              <w:jc w:val="center"/>
            </w:pPr>
            <w:r>
              <w:rPr>
                <w:sz w:val="16"/>
                <w:szCs w:val="16"/>
              </w:rPr>
              <w:t>Yes</w:t>
            </w:r>
          </w:p>
        </w:tc>
      </w:tr>
      <w:tr w:rsidR="00E515B6" w14:paraId="7FA4E3CE" w14:textId="77777777">
        <w:tblPrEx>
          <w:tblCellMar>
            <w:top w:w="0" w:type="dxa"/>
            <w:bottom w:w="0" w:type="dxa"/>
          </w:tblCellMar>
        </w:tblPrEx>
        <w:trPr>
          <w:cantSplit/>
          <w:jc w:val="center"/>
        </w:trPr>
        <w:tc>
          <w:tcPr>
            <w:tcW w:w="1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3BDE0C" w14:textId="77777777" w:rsidR="00E515B6" w:rsidRDefault="00000000">
            <w:r>
              <w:rPr>
                <w:sz w:val="16"/>
                <w:szCs w:val="16"/>
              </w:rPr>
              <w:t>Free-tier operation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C2697E" w14:textId="77777777" w:rsidR="00E515B6" w:rsidRDefault="00000000">
            <w:pPr>
              <w:jc w:val="center"/>
            </w:pPr>
            <w:r>
              <w:rPr>
                <w:sz w:val="16"/>
                <w:szCs w:val="16"/>
              </w:rPr>
              <w:t>Varies</w:t>
            </w:r>
          </w:p>
        </w:tc>
        <w:tc>
          <w:tcPr>
            <w:tcW w:w="1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55FFC8" w14:textId="77777777" w:rsidR="00E515B6" w:rsidRDefault="00000000">
            <w:pPr>
              <w:jc w:val="center"/>
            </w:pPr>
            <w:r>
              <w:rPr>
                <w:sz w:val="16"/>
                <w:szCs w:val="16"/>
              </w:rPr>
              <w:t>Varies</w:t>
            </w:r>
          </w:p>
        </w:tc>
        <w:tc>
          <w:tcPr>
            <w:tcW w:w="12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4282E8" w14:textId="77777777" w:rsidR="00E515B6" w:rsidRDefault="00000000">
            <w:pPr>
              <w:jc w:val="center"/>
            </w:pPr>
            <w:r>
              <w:rPr>
                <w:sz w:val="16"/>
                <w:szCs w:val="16"/>
              </w:rPr>
              <w:t>Yes</w:t>
            </w:r>
          </w:p>
        </w:tc>
      </w:tr>
    </w:tbl>
    <w:p w14:paraId="73C45AC2" w14:textId="77777777" w:rsidR="00E515B6" w:rsidRDefault="00E515B6">
      <w:pPr>
        <w:spacing w:after="100"/>
      </w:pPr>
    </w:p>
    <w:p w14:paraId="4EDAA74E" w14:textId="77777777" w:rsidR="00E515B6" w:rsidRDefault="00000000">
      <w:pPr>
        <w:keepNext/>
        <w:spacing w:before="120" w:after="40"/>
        <w:jc w:val="center"/>
      </w:pPr>
      <w:r>
        <w:rPr>
          <w:b/>
          <w:bCs/>
          <w:smallCaps/>
          <w:sz w:val="18"/>
          <w:szCs w:val="18"/>
        </w:rPr>
        <w:t>TABLE IV</w:t>
      </w:r>
    </w:p>
    <w:p w14:paraId="35514BA8" w14:textId="77777777" w:rsidR="00E515B6" w:rsidRDefault="00000000">
      <w:pPr>
        <w:keepNext/>
        <w:spacing w:after="80"/>
        <w:jc w:val="center"/>
      </w:pPr>
      <w:r>
        <w:rPr>
          <w:b/>
          <w:bCs/>
          <w:sz w:val="18"/>
          <w:szCs w:val="18"/>
        </w:rPr>
        <w:t>Batch Evaluation Results per Model</w:t>
      </w:r>
    </w:p>
    <w:tbl>
      <w:tblPr>
        <w:tblW w:w="4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1250"/>
        <w:gridCol w:w="1130"/>
      </w:tblGrid>
      <w:tr w:rsidR="00E515B6" w14:paraId="4603A399" w14:textId="77777777">
        <w:tblPrEx>
          <w:tblCellMar>
            <w:top w:w="0" w:type="dxa"/>
            <w:bottom w:w="0" w:type="dxa"/>
          </w:tblCellMar>
        </w:tblPrEx>
        <w:trPr>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DDDDD"/>
            <w:tcMar>
              <w:top w:w="50" w:type="dxa"/>
              <w:left w:w="80" w:type="dxa"/>
              <w:bottom w:w="50" w:type="dxa"/>
              <w:right w:w="80" w:type="dxa"/>
            </w:tcMar>
          </w:tcPr>
          <w:p w14:paraId="0AD02A3A" w14:textId="77777777" w:rsidR="00E515B6" w:rsidRDefault="00000000">
            <w:pPr>
              <w:jc w:val="center"/>
            </w:pPr>
            <w:r>
              <w:rPr>
                <w:b/>
                <w:bCs/>
                <w:sz w:val="16"/>
                <w:szCs w:val="16"/>
              </w:rPr>
              <w:t>Model</w:t>
            </w:r>
          </w:p>
        </w:tc>
        <w:tc>
          <w:tcPr>
            <w:tcW w:w="1100" w:type="dxa"/>
            <w:tcBorders>
              <w:top w:val="single" w:sz="4" w:space="0" w:color="000000"/>
              <w:left w:val="single" w:sz="4" w:space="0" w:color="000000"/>
              <w:bottom w:val="single" w:sz="4" w:space="0" w:color="000000"/>
              <w:right w:val="single" w:sz="4" w:space="0" w:color="000000"/>
            </w:tcBorders>
            <w:shd w:val="clear" w:color="auto" w:fill="DDDDDD"/>
            <w:tcMar>
              <w:top w:w="50" w:type="dxa"/>
              <w:left w:w="80" w:type="dxa"/>
              <w:bottom w:w="50" w:type="dxa"/>
              <w:right w:w="80" w:type="dxa"/>
            </w:tcMar>
          </w:tcPr>
          <w:p w14:paraId="6EF09D67" w14:textId="77777777" w:rsidR="00E515B6" w:rsidRDefault="00000000">
            <w:pPr>
              <w:jc w:val="center"/>
            </w:pPr>
            <w:r>
              <w:rPr>
                <w:b/>
                <w:bCs/>
                <w:sz w:val="16"/>
                <w:szCs w:val="16"/>
              </w:rPr>
              <w:t>Accuracy (%)</w:t>
            </w:r>
          </w:p>
        </w:tc>
        <w:tc>
          <w:tcPr>
            <w:tcW w:w="1250" w:type="dxa"/>
            <w:tcBorders>
              <w:top w:val="single" w:sz="4" w:space="0" w:color="000000"/>
              <w:left w:val="single" w:sz="4" w:space="0" w:color="000000"/>
              <w:bottom w:val="single" w:sz="4" w:space="0" w:color="000000"/>
              <w:right w:val="single" w:sz="4" w:space="0" w:color="000000"/>
            </w:tcBorders>
            <w:shd w:val="clear" w:color="auto" w:fill="DDDDDD"/>
            <w:tcMar>
              <w:top w:w="50" w:type="dxa"/>
              <w:left w:w="80" w:type="dxa"/>
              <w:bottom w:w="50" w:type="dxa"/>
              <w:right w:w="80" w:type="dxa"/>
            </w:tcMar>
          </w:tcPr>
          <w:p w14:paraId="1FD36A50" w14:textId="77777777" w:rsidR="00E515B6" w:rsidRDefault="00000000">
            <w:pPr>
              <w:jc w:val="center"/>
            </w:pPr>
            <w:r>
              <w:rPr>
                <w:b/>
                <w:bCs/>
                <w:sz w:val="16"/>
                <w:szCs w:val="16"/>
              </w:rPr>
              <w:t>Avg. latency (</w:t>
            </w:r>
            <w:proofErr w:type="spellStart"/>
            <w:r>
              <w:rPr>
                <w:b/>
                <w:bCs/>
                <w:sz w:val="16"/>
                <w:szCs w:val="16"/>
              </w:rPr>
              <w:t>ms</w:t>
            </w:r>
            <w:proofErr w:type="spellEnd"/>
            <w:r>
              <w:rPr>
                <w:b/>
                <w:bCs/>
                <w:sz w:val="16"/>
                <w:szCs w:val="16"/>
              </w:rPr>
              <w:t>)</w:t>
            </w:r>
          </w:p>
        </w:tc>
        <w:tc>
          <w:tcPr>
            <w:tcW w:w="1130" w:type="dxa"/>
            <w:tcBorders>
              <w:top w:val="single" w:sz="4" w:space="0" w:color="000000"/>
              <w:left w:val="single" w:sz="4" w:space="0" w:color="000000"/>
              <w:bottom w:val="single" w:sz="4" w:space="0" w:color="000000"/>
              <w:right w:val="single" w:sz="4" w:space="0" w:color="000000"/>
            </w:tcBorders>
            <w:shd w:val="clear" w:color="auto" w:fill="DDDDDD"/>
            <w:tcMar>
              <w:top w:w="50" w:type="dxa"/>
              <w:left w:w="80" w:type="dxa"/>
              <w:bottom w:w="50" w:type="dxa"/>
              <w:right w:w="80" w:type="dxa"/>
            </w:tcMar>
          </w:tcPr>
          <w:p w14:paraId="0CA23623" w14:textId="77777777" w:rsidR="00E515B6" w:rsidRDefault="00000000">
            <w:pPr>
              <w:jc w:val="center"/>
            </w:pPr>
            <w:r>
              <w:rPr>
                <w:b/>
                <w:bCs/>
                <w:sz w:val="16"/>
                <w:szCs w:val="16"/>
              </w:rPr>
              <w:t>Avg. cost</w:t>
            </w:r>
          </w:p>
        </w:tc>
      </w:tr>
      <w:tr w:rsidR="00E515B6" w14:paraId="7E501F48"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A7F7FB" w14:textId="77777777" w:rsidR="00E515B6" w:rsidRDefault="00000000">
            <w:r>
              <w:rPr>
                <w:sz w:val="16"/>
                <w:szCs w:val="16"/>
              </w:rPr>
              <w:t>Gemini</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E11208" w14:textId="77777777" w:rsidR="00E515B6" w:rsidRDefault="00000000">
            <w:pPr>
              <w:jc w:val="center"/>
            </w:pPr>
            <w:r>
              <w:rPr>
                <w:sz w:val="16"/>
                <w:szCs w:val="16"/>
                <w:highlight w:val="yellow"/>
              </w:rPr>
              <w:t>[value]</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7D7912" w14:textId="77777777" w:rsidR="00E515B6" w:rsidRDefault="00000000">
            <w:pPr>
              <w:jc w:val="center"/>
            </w:pPr>
            <w:r>
              <w:rPr>
                <w:sz w:val="16"/>
                <w:szCs w:val="16"/>
                <w:highlight w:val="yellow"/>
              </w:rPr>
              <w:t>[value]</w:t>
            </w:r>
          </w:p>
        </w:tc>
        <w:tc>
          <w:tcPr>
            <w:tcW w:w="11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9AA246" w14:textId="77777777" w:rsidR="00E515B6" w:rsidRDefault="00000000">
            <w:pPr>
              <w:jc w:val="center"/>
            </w:pPr>
            <w:r>
              <w:rPr>
                <w:sz w:val="16"/>
                <w:szCs w:val="16"/>
                <w:highlight w:val="yellow"/>
              </w:rPr>
              <w:t>[value]</w:t>
            </w:r>
          </w:p>
        </w:tc>
      </w:tr>
      <w:tr w:rsidR="00E515B6" w14:paraId="5A6DE47C" w14:textId="77777777">
        <w:tblPrEx>
          <w:tblCellMar>
            <w:top w:w="0" w:type="dxa"/>
            <w:bottom w:w="0" w:type="dxa"/>
          </w:tblCellMar>
        </w:tblPrEx>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CD14C6" w14:textId="77777777" w:rsidR="00E515B6" w:rsidRDefault="00000000">
            <w:proofErr w:type="spellStart"/>
            <w:r>
              <w:rPr>
                <w:sz w:val="16"/>
                <w:szCs w:val="16"/>
              </w:rPr>
              <w:t>Groq</w:t>
            </w:r>
            <w:proofErr w:type="spellEnd"/>
            <w:r>
              <w:rPr>
                <w:sz w:val="16"/>
                <w:szCs w:val="16"/>
              </w:rPr>
              <w:t xml:space="preserve"> / Llama</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A2E770" w14:textId="77777777" w:rsidR="00E515B6" w:rsidRDefault="00000000">
            <w:pPr>
              <w:jc w:val="center"/>
            </w:pPr>
            <w:r>
              <w:rPr>
                <w:sz w:val="16"/>
                <w:szCs w:val="16"/>
                <w:highlight w:val="yellow"/>
              </w:rPr>
              <w:t>[value]</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95A907" w14:textId="77777777" w:rsidR="00E515B6" w:rsidRDefault="00000000">
            <w:pPr>
              <w:jc w:val="center"/>
            </w:pPr>
            <w:r>
              <w:rPr>
                <w:sz w:val="16"/>
                <w:szCs w:val="16"/>
                <w:highlight w:val="yellow"/>
              </w:rPr>
              <w:t>[value]</w:t>
            </w:r>
          </w:p>
        </w:tc>
        <w:tc>
          <w:tcPr>
            <w:tcW w:w="11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823666" w14:textId="77777777" w:rsidR="00E515B6" w:rsidRDefault="00000000">
            <w:pPr>
              <w:jc w:val="center"/>
            </w:pPr>
            <w:r>
              <w:rPr>
                <w:sz w:val="16"/>
                <w:szCs w:val="16"/>
                <w:highlight w:val="yellow"/>
              </w:rPr>
              <w:t>[value]</w:t>
            </w:r>
          </w:p>
        </w:tc>
      </w:tr>
    </w:tbl>
    <w:p w14:paraId="44E34595" w14:textId="77777777" w:rsidR="00E515B6" w:rsidRDefault="00E515B6">
      <w:pPr>
        <w:spacing w:after="100"/>
      </w:pPr>
    </w:p>
    <w:p w14:paraId="5DF14B7B" w14:textId="77777777" w:rsidR="00E515B6" w:rsidRDefault="00000000">
      <w:pPr>
        <w:spacing w:after="120" w:line="228" w:lineRule="auto"/>
        <w:ind w:firstLine="288"/>
        <w:jc w:val="both"/>
      </w:pPr>
      <w:r>
        <w:t>One practical benefit of this design is that adding another provider to Table IV only means registering one more implementation of the provider interface. The API routes and the dashboard stay as they are. Results from every provider are stored in the same format, so they can be compared directly across runs and dates.</w:t>
      </w:r>
    </w:p>
    <w:p w14:paraId="0CE98C2C" w14:textId="77777777" w:rsidR="00E515B6" w:rsidRDefault="00000000">
      <w:pPr>
        <w:pStyle w:val="Heading1"/>
      </w:pPr>
      <w:r>
        <w:t>V. DISCUSSION</w:t>
      </w:r>
    </w:p>
    <w:p w14:paraId="76B32955" w14:textId="77777777" w:rsidR="00E515B6" w:rsidRDefault="00000000">
      <w:pPr>
        <w:spacing w:after="120" w:line="228" w:lineRule="auto"/>
        <w:ind w:firstLine="288"/>
        <w:jc w:val="both"/>
      </w:pPr>
      <w:r>
        <w:t xml:space="preserve">The main thing </w:t>
      </w:r>
      <w:proofErr w:type="spellStart"/>
      <w:r>
        <w:t>PromptBench</w:t>
      </w:r>
      <w:proofErr w:type="spellEnd"/>
      <w:r>
        <w:t xml:space="preserve"> does is turn a messy, manual habit (trying a prompt on a few models and judging the answers by eye) into something structured and repeatable. Because the differences between providers are kept inside one module each, extending the system is cheap, and a new provider automatically gets the dashboard, the judge and the history. Staying within free API tiers also means students and small teams can reproduce the whole workflow without paying for anything.</w:t>
      </w:r>
    </w:p>
    <w:p w14:paraId="5245884E" w14:textId="77777777" w:rsidR="00E515B6" w:rsidRDefault="00000000">
      <w:pPr>
        <w:spacing w:after="120" w:line="228" w:lineRule="auto"/>
        <w:ind w:firstLine="288"/>
        <w:jc w:val="both"/>
      </w:pPr>
      <w:r>
        <w:lastRenderedPageBreak/>
        <w:t xml:space="preserve">There are some limitations we should be upfront about. First, LLM-as-judge scores carry the biases of the judging model, such as a liking for longer answers or for its own style [9]. Using a reference answer helps but does not remove this, so a person should still spot-check the verdicts. Second, the latency we measure is </w:t>
      </w:r>
      <w:proofErr w:type="gramStart"/>
      <w:r>
        <w:t>end</w:t>
      </w:r>
      <w:proofErr w:type="gramEnd"/>
      <w:r>
        <w:t xml:space="preserve"> to end. It includes network </w:t>
      </w:r>
      <w:proofErr w:type="gramStart"/>
      <w:r>
        <w:t>delay</w:t>
      </w:r>
      <w:proofErr w:type="gramEnd"/>
      <w:r>
        <w:t xml:space="preserve"> and free-tier queuing, so it shows what a user would experience, not how fast the model itself is. Third, free tiers have rate limits that cap the size of batch runs, and our hand-made dataset is small, so the accuracy numbers should not be over-generalized. Last, a JSON-file store works for one user but not for many users at once.</w:t>
      </w:r>
    </w:p>
    <w:p w14:paraId="508AFDDD" w14:textId="77777777" w:rsidR="00E515B6" w:rsidRDefault="00000000">
      <w:pPr>
        <w:spacing w:after="120" w:line="228" w:lineRule="auto"/>
        <w:ind w:firstLine="288"/>
        <w:jc w:val="both"/>
      </w:pPr>
      <w:r>
        <w:t>In future work we would like to add more providers, move the store to PostgreSQL, use more than one judge model to lessen single-judge bias, repeat each call to report variation in latency and quality, and add significance tests to the comparison views.</w:t>
      </w:r>
    </w:p>
    <w:p w14:paraId="7F39E5D7" w14:textId="77777777" w:rsidR="00E515B6" w:rsidRDefault="00000000">
      <w:pPr>
        <w:pStyle w:val="Heading1"/>
      </w:pPr>
      <w:r>
        <w:t>VI. CONCLUSION</w:t>
      </w:r>
    </w:p>
    <w:p w14:paraId="6B337226" w14:textId="77777777" w:rsidR="00E515B6" w:rsidRDefault="00000000">
      <w:pPr>
        <w:spacing w:after="120" w:line="228" w:lineRule="auto"/>
        <w:ind w:firstLine="288"/>
        <w:jc w:val="both"/>
      </w:pPr>
      <w:r>
        <w:t xml:space="preserve">We presented </w:t>
      </w:r>
      <w:proofErr w:type="spellStart"/>
      <w:r>
        <w:t>PromptBench</w:t>
      </w:r>
      <w:proofErr w:type="spellEnd"/>
      <w:r>
        <w:t>, an object-oriented, full-stack web application for evaluating prompts across several LLM providers. Hiding provider details behind one interface, sharing typed data contracts and calling every provider polymorphically make the system easy to extend. The dashboard, LLM-as-judge evaluator, batch accuracy scoring and saved history together help developers choose a model based on evidence while they work on their prompts. The project also shows that ordinary object-oriented ideas carry over well to a modern problem like working with several AI providers at once.</w:t>
      </w:r>
    </w:p>
    <w:p w14:paraId="675A3DF1" w14:textId="77777777" w:rsidR="00E515B6" w:rsidRDefault="00000000">
      <w:pPr>
        <w:pStyle w:val="Heading1"/>
      </w:pPr>
      <w:r>
        <w:t>ACKNOWLEDGMENT</w:t>
      </w:r>
    </w:p>
    <w:p w14:paraId="0C0743D6" w14:textId="77777777" w:rsidR="00E515B6" w:rsidRDefault="00000000">
      <w:pPr>
        <w:spacing w:after="120" w:line="228" w:lineRule="auto"/>
        <w:ind w:firstLine="288"/>
        <w:jc w:val="both"/>
      </w:pPr>
      <w:r>
        <w:t>The authors would like to thank P. SriLakshmi, Assistant Professor, for her guidance throughout this project, which was done as part of the course Applied Machine Learning for Text Analysis (24ALT3101).</w:t>
      </w:r>
    </w:p>
    <w:p w14:paraId="0DC210D5" w14:textId="77777777" w:rsidR="00E515B6" w:rsidRDefault="00000000">
      <w:pPr>
        <w:pStyle w:val="Heading1"/>
      </w:pPr>
      <w:r>
        <w:t>REFERENCES</w:t>
      </w:r>
    </w:p>
    <w:p w14:paraId="690C75AC" w14:textId="77777777" w:rsidR="00E515B6" w:rsidRDefault="00000000">
      <w:pPr>
        <w:tabs>
          <w:tab w:val="left" w:pos="360"/>
        </w:tabs>
        <w:spacing w:after="50" w:line="216" w:lineRule="auto"/>
        <w:ind w:left="360" w:hanging="360"/>
        <w:jc w:val="both"/>
      </w:pPr>
      <w:r>
        <w:rPr>
          <w:sz w:val="16"/>
          <w:szCs w:val="16"/>
        </w:rPr>
        <w:t>[1]</w:t>
      </w:r>
      <w:r>
        <w:rPr>
          <w:sz w:val="16"/>
          <w:szCs w:val="16"/>
        </w:rPr>
        <w:tab/>
        <w:t xml:space="preserve">T. B. Brown </w:t>
      </w:r>
      <w:r>
        <w:rPr>
          <w:i/>
          <w:iCs/>
          <w:sz w:val="16"/>
          <w:szCs w:val="16"/>
        </w:rPr>
        <w:t>et al.</w:t>
      </w:r>
      <w:r>
        <w:rPr>
          <w:sz w:val="16"/>
          <w:szCs w:val="16"/>
        </w:rPr>
        <w:t xml:space="preserve">, “Language models are few-shot learners,” in </w:t>
      </w:r>
      <w:r>
        <w:rPr>
          <w:i/>
          <w:iCs/>
          <w:sz w:val="16"/>
          <w:szCs w:val="16"/>
        </w:rPr>
        <w:t>Proc. Adv. Neural Inf. Process. Syst. (</w:t>
      </w:r>
      <w:proofErr w:type="spellStart"/>
      <w:r>
        <w:rPr>
          <w:i/>
          <w:iCs/>
          <w:sz w:val="16"/>
          <w:szCs w:val="16"/>
        </w:rPr>
        <w:t>NeurIPS</w:t>
      </w:r>
      <w:proofErr w:type="spellEnd"/>
      <w:r>
        <w:rPr>
          <w:i/>
          <w:iCs/>
          <w:sz w:val="16"/>
          <w:szCs w:val="16"/>
        </w:rPr>
        <w:t>)</w:t>
      </w:r>
      <w:r>
        <w:rPr>
          <w:sz w:val="16"/>
          <w:szCs w:val="16"/>
        </w:rPr>
        <w:t>, vol. 33, 2020, pp. 1877–1901.</w:t>
      </w:r>
    </w:p>
    <w:p w14:paraId="1E0B2D77" w14:textId="77777777" w:rsidR="00E515B6" w:rsidRDefault="00000000">
      <w:pPr>
        <w:tabs>
          <w:tab w:val="left" w:pos="360"/>
        </w:tabs>
        <w:spacing w:after="50" w:line="216" w:lineRule="auto"/>
        <w:ind w:left="360" w:hanging="360"/>
        <w:jc w:val="both"/>
      </w:pPr>
      <w:r>
        <w:rPr>
          <w:sz w:val="16"/>
          <w:szCs w:val="16"/>
        </w:rPr>
        <w:t>[2]</w:t>
      </w:r>
      <w:r>
        <w:rPr>
          <w:sz w:val="16"/>
          <w:szCs w:val="16"/>
        </w:rPr>
        <w:tab/>
        <w:t>Gemini Team, Google, “Gemini: A family of highly capable multimodal models,” arXiv:2312.11805, 2023.</w:t>
      </w:r>
    </w:p>
    <w:p w14:paraId="2DDBE9E0" w14:textId="77777777" w:rsidR="00E515B6" w:rsidRDefault="00000000">
      <w:pPr>
        <w:tabs>
          <w:tab w:val="left" w:pos="360"/>
        </w:tabs>
        <w:spacing w:after="50" w:line="216" w:lineRule="auto"/>
        <w:ind w:left="360" w:hanging="360"/>
        <w:jc w:val="both"/>
      </w:pPr>
      <w:r>
        <w:rPr>
          <w:sz w:val="16"/>
          <w:szCs w:val="16"/>
        </w:rPr>
        <w:t>[3]</w:t>
      </w:r>
      <w:r>
        <w:rPr>
          <w:sz w:val="16"/>
          <w:szCs w:val="16"/>
        </w:rPr>
        <w:tab/>
        <w:t xml:space="preserve">A. </w:t>
      </w:r>
      <w:proofErr w:type="spellStart"/>
      <w:r>
        <w:rPr>
          <w:sz w:val="16"/>
          <w:szCs w:val="16"/>
        </w:rPr>
        <w:t>Grattafiori</w:t>
      </w:r>
      <w:proofErr w:type="spellEnd"/>
      <w:r>
        <w:rPr>
          <w:sz w:val="16"/>
          <w:szCs w:val="16"/>
        </w:rPr>
        <w:t xml:space="preserve"> </w:t>
      </w:r>
      <w:r>
        <w:rPr>
          <w:i/>
          <w:iCs/>
          <w:sz w:val="16"/>
          <w:szCs w:val="16"/>
        </w:rPr>
        <w:t>et al.</w:t>
      </w:r>
      <w:r>
        <w:rPr>
          <w:sz w:val="16"/>
          <w:szCs w:val="16"/>
        </w:rPr>
        <w:t>, “The Llama 3 herd of models,” arXiv:2407.21783, 2024.</w:t>
      </w:r>
    </w:p>
    <w:p w14:paraId="68A80054" w14:textId="77777777" w:rsidR="00E515B6" w:rsidRDefault="00000000">
      <w:pPr>
        <w:tabs>
          <w:tab w:val="left" w:pos="360"/>
        </w:tabs>
        <w:spacing w:after="50" w:line="216" w:lineRule="auto"/>
        <w:ind w:left="360" w:hanging="360"/>
        <w:jc w:val="both"/>
      </w:pPr>
      <w:r>
        <w:rPr>
          <w:sz w:val="16"/>
          <w:szCs w:val="16"/>
        </w:rPr>
        <w:t>[4]</w:t>
      </w:r>
      <w:r>
        <w:rPr>
          <w:sz w:val="16"/>
          <w:szCs w:val="16"/>
        </w:rPr>
        <w:tab/>
        <w:t xml:space="preserve">J. Wei </w:t>
      </w:r>
      <w:r>
        <w:rPr>
          <w:i/>
          <w:iCs/>
          <w:sz w:val="16"/>
          <w:szCs w:val="16"/>
        </w:rPr>
        <w:t>et al.</w:t>
      </w:r>
      <w:r>
        <w:rPr>
          <w:sz w:val="16"/>
          <w:szCs w:val="16"/>
        </w:rPr>
        <w:t xml:space="preserve">, “Chain-of-thought prompting elicits reasoning in large language models,” in </w:t>
      </w:r>
      <w:r>
        <w:rPr>
          <w:i/>
          <w:iCs/>
          <w:sz w:val="16"/>
          <w:szCs w:val="16"/>
        </w:rPr>
        <w:t>Proc. Adv. Neural Inf. Process. Syst. (</w:t>
      </w:r>
      <w:proofErr w:type="spellStart"/>
      <w:r>
        <w:rPr>
          <w:i/>
          <w:iCs/>
          <w:sz w:val="16"/>
          <w:szCs w:val="16"/>
        </w:rPr>
        <w:t>NeurIPS</w:t>
      </w:r>
      <w:proofErr w:type="spellEnd"/>
      <w:r>
        <w:rPr>
          <w:i/>
          <w:iCs/>
          <w:sz w:val="16"/>
          <w:szCs w:val="16"/>
        </w:rPr>
        <w:t>)</w:t>
      </w:r>
      <w:r>
        <w:rPr>
          <w:sz w:val="16"/>
          <w:szCs w:val="16"/>
        </w:rPr>
        <w:t>, vol. 35, 2022, pp. 24824–24837.</w:t>
      </w:r>
    </w:p>
    <w:p w14:paraId="10217B13" w14:textId="77777777" w:rsidR="00E515B6" w:rsidRDefault="00000000">
      <w:pPr>
        <w:tabs>
          <w:tab w:val="left" w:pos="360"/>
        </w:tabs>
        <w:spacing w:after="50" w:line="216" w:lineRule="auto"/>
        <w:ind w:left="360" w:hanging="360"/>
        <w:jc w:val="both"/>
      </w:pPr>
      <w:r>
        <w:rPr>
          <w:sz w:val="16"/>
          <w:szCs w:val="16"/>
        </w:rPr>
        <w:t>[5]</w:t>
      </w:r>
      <w:r>
        <w:rPr>
          <w:sz w:val="16"/>
          <w:szCs w:val="16"/>
        </w:rPr>
        <w:tab/>
        <w:t xml:space="preserve">P. Liu </w:t>
      </w:r>
      <w:r>
        <w:rPr>
          <w:i/>
          <w:iCs/>
          <w:sz w:val="16"/>
          <w:szCs w:val="16"/>
        </w:rPr>
        <w:t>et al.</w:t>
      </w:r>
      <w:r>
        <w:rPr>
          <w:sz w:val="16"/>
          <w:szCs w:val="16"/>
        </w:rPr>
        <w:t xml:space="preserve">, “Pre-train, prompt, and predict: A systematic survey of prompting methods in natural language processing,” </w:t>
      </w:r>
      <w:r>
        <w:rPr>
          <w:i/>
          <w:iCs/>
          <w:sz w:val="16"/>
          <w:szCs w:val="16"/>
        </w:rPr>
        <w:t xml:space="preserve">ACM </w:t>
      </w:r>
      <w:proofErr w:type="spellStart"/>
      <w:r>
        <w:rPr>
          <w:i/>
          <w:iCs/>
          <w:sz w:val="16"/>
          <w:szCs w:val="16"/>
        </w:rPr>
        <w:t>Comput</w:t>
      </w:r>
      <w:proofErr w:type="spellEnd"/>
      <w:r>
        <w:rPr>
          <w:i/>
          <w:iCs/>
          <w:sz w:val="16"/>
          <w:szCs w:val="16"/>
        </w:rPr>
        <w:t xml:space="preserve">. </w:t>
      </w:r>
      <w:proofErr w:type="spellStart"/>
      <w:r>
        <w:rPr>
          <w:i/>
          <w:iCs/>
          <w:sz w:val="16"/>
          <w:szCs w:val="16"/>
        </w:rPr>
        <w:t>Surv</w:t>
      </w:r>
      <w:proofErr w:type="spellEnd"/>
      <w:r>
        <w:rPr>
          <w:i/>
          <w:iCs/>
          <w:sz w:val="16"/>
          <w:szCs w:val="16"/>
        </w:rPr>
        <w:t>.</w:t>
      </w:r>
      <w:r>
        <w:rPr>
          <w:sz w:val="16"/>
          <w:szCs w:val="16"/>
        </w:rPr>
        <w:t>, vol. 55, no. 9, Art. no. 195, 2023.</w:t>
      </w:r>
    </w:p>
    <w:p w14:paraId="6F7B323C" w14:textId="77777777" w:rsidR="00E515B6" w:rsidRDefault="00000000">
      <w:pPr>
        <w:tabs>
          <w:tab w:val="left" w:pos="360"/>
        </w:tabs>
        <w:spacing w:after="50" w:line="216" w:lineRule="auto"/>
        <w:ind w:left="360" w:hanging="360"/>
        <w:jc w:val="both"/>
      </w:pPr>
      <w:r>
        <w:rPr>
          <w:sz w:val="16"/>
          <w:szCs w:val="16"/>
        </w:rPr>
        <w:t>[6]</w:t>
      </w:r>
      <w:r>
        <w:rPr>
          <w:sz w:val="16"/>
          <w:szCs w:val="16"/>
        </w:rPr>
        <w:tab/>
        <w:t xml:space="preserve">P. Liang </w:t>
      </w:r>
      <w:r>
        <w:rPr>
          <w:i/>
          <w:iCs/>
          <w:sz w:val="16"/>
          <w:szCs w:val="16"/>
        </w:rPr>
        <w:t>et al.</w:t>
      </w:r>
      <w:r>
        <w:rPr>
          <w:sz w:val="16"/>
          <w:szCs w:val="16"/>
        </w:rPr>
        <w:t xml:space="preserve">, “Holistic evaluation of language models,” </w:t>
      </w:r>
      <w:r>
        <w:rPr>
          <w:i/>
          <w:iCs/>
          <w:sz w:val="16"/>
          <w:szCs w:val="16"/>
        </w:rPr>
        <w:t>Trans. Mach. Learn. Res.</w:t>
      </w:r>
      <w:r>
        <w:rPr>
          <w:sz w:val="16"/>
          <w:szCs w:val="16"/>
        </w:rPr>
        <w:t>, 2023.</w:t>
      </w:r>
    </w:p>
    <w:p w14:paraId="644319B0" w14:textId="77777777" w:rsidR="00E515B6" w:rsidRDefault="00000000">
      <w:pPr>
        <w:tabs>
          <w:tab w:val="left" w:pos="360"/>
        </w:tabs>
        <w:spacing w:after="50" w:line="216" w:lineRule="auto"/>
        <w:ind w:left="360" w:hanging="360"/>
        <w:jc w:val="both"/>
      </w:pPr>
      <w:r>
        <w:rPr>
          <w:sz w:val="16"/>
          <w:szCs w:val="16"/>
        </w:rPr>
        <w:t>[7]</w:t>
      </w:r>
      <w:r>
        <w:rPr>
          <w:sz w:val="16"/>
          <w:szCs w:val="16"/>
        </w:rPr>
        <w:tab/>
        <w:t xml:space="preserve">L. Gao </w:t>
      </w:r>
      <w:r>
        <w:rPr>
          <w:i/>
          <w:iCs/>
          <w:sz w:val="16"/>
          <w:szCs w:val="16"/>
        </w:rPr>
        <w:t>et al.</w:t>
      </w:r>
      <w:r>
        <w:rPr>
          <w:sz w:val="16"/>
          <w:szCs w:val="16"/>
        </w:rPr>
        <w:t xml:space="preserve">, “A framework for few-shot language model evaluation,” </w:t>
      </w:r>
      <w:proofErr w:type="spellStart"/>
      <w:r>
        <w:rPr>
          <w:sz w:val="16"/>
          <w:szCs w:val="16"/>
        </w:rPr>
        <w:t>Zenodo</w:t>
      </w:r>
      <w:proofErr w:type="spellEnd"/>
      <w:r>
        <w:rPr>
          <w:sz w:val="16"/>
          <w:szCs w:val="16"/>
        </w:rPr>
        <w:t>, 2021.</w:t>
      </w:r>
    </w:p>
    <w:p w14:paraId="7D3D525F" w14:textId="77777777" w:rsidR="00E515B6" w:rsidRDefault="00000000">
      <w:pPr>
        <w:tabs>
          <w:tab w:val="left" w:pos="360"/>
        </w:tabs>
        <w:spacing w:after="50" w:line="216" w:lineRule="auto"/>
        <w:ind w:left="360" w:hanging="360"/>
        <w:jc w:val="both"/>
      </w:pPr>
      <w:r>
        <w:rPr>
          <w:sz w:val="16"/>
          <w:szCs w:val="16"/>
        </w:rPr>
        <w:t>[8]</w:t>
      </w:r>
      <w:r>
        <w:rPr>
          <w:sz w:val="16"/>
          <w:szCs w:val="16"/>
        </w:rPr>
        <w:tab/>
        <w:t xml:space="preserve">K. Zhu </w:t>
      </w:r>
      <w:r>
        <w:rPr>
          <w:i/>
          <w:iCs/>
          <w:sz w:val="16"/>
          <w:szCs w:val="16"/>
        </w:rPr>
        <w:t>et al.</w:t>
      </w:r>
      <w:r>
        <w:rPr>
          <w:sz w:val="16"/>
          <w:szCs w:val="16"/>
        </w:rPr>
        <w:t>, “</w:t>
      </w:r>
      <w:proofErr w:type="spellStart"/>
      <w:r>
        <w:rPr>
          <w:sz w:val="16"/>
          <w:szCs w:val="16"/>
        </w:rPr>
        <w:t>PromptBench</w:t>
      </w:r>
      <w:proofErr w:type="spellEnd"/>
      <w:r>
        <w:rPr>
          <w:sz w:val="16"/>
          <w:szCs w:val="16"/>
        </w:rPr>
        <w:t>: A unified library for evaluation of large language models,” arXiv:2312.07910, 2023.</w:t>
      </w:r>
    </w:p>
    <w:p w14:paraId="348DF3C2" w14:textId="77777777" w:rsidR="00E515B6" w:rsidRDefault="00000000">
      <w:pPr>
        <w:tabs>
          <w:tab w:val="left" w:pos="360"/>
        </w:tabs>
        <w:spacing w:after="50" w:line="216" w:lineRule="auto"/>
        <w:ind w:left="360" w:hanging="360"/>
        <w:jc w:val="both"/>
      </w:pPr>
      <w:r>
        <w:rPr>
          <w:sz w:val="16"/>
          <w:szCs w:val="16"/>
        </w:rPr>
        <w:t>[9]</w:t>
      </w:r>
      <w:r>
        <w:rPr>
          <w:sz w:val="16"/>
          <w:szCs w:val="16"/>
        </w:rPr>
        <w:tab/>
        <w:t xml:space="preserve">L. Zheng </w:t>
      </w:r>
      <w:r>
        <w:rPr>
          <w:i/>
          <w:iCs/>
          <w:sz w:val="16"/>
          <w:szCs w:val="16"/>
        </w:rPr>
        <w:t>et al.</w:t>
      </w:r>
      <w:r>
        <w:rPr>
          <w:sz w:val="16"/>
          <w:szCs w:val="16"/>
        </w:rPr>
        <w:t xml:space="preserve">, “Judging LLM-as-a-judge with MT-Bench and Chatbot Arena,” in </w:t>
      </w:r>
      <w:r>
        <w:rPr>
          <w:i/>
          <w:iCs/>
          <w:sz w:val="16"/>
          <w:szCs w:val="16"/>
        </w:rPr>
        <w:t>Proc. Adv. Neural Inf. Process. Syst. (</w:t>
      </w:r>
      <w:proofErr w:type="spellStart"/>
      <w:r>
        <w:rPr>
          <w:i/>
          <w:iCs/>
          <w:sz w:val="16"/>
          <w:szCs w:val="16"/>
        </w:rPr>
        <w:t>NeurIPS</w:t>
      </w:r>
      <w:proofErr w:type="spellEnd"/>
      <w:r>
        <w:rPr>
          <w:i/>
          <w:iCs/>
          <w:sz w:val="16"/>
          <w:szCs w:val="16"/>
        </w:rPr>
        <w:t>) Datasets and Benchmarks Track</w:t>
      </w:r>
      <w:r>
        <w:rPr>
          <w:sz w:val="16"/>
          <w:szCs w:val="16"/>
        </w:rPr>
        <w:t>, vol. 36, 2023.</w:t>
      </w:r>
    </w:p>
    <w:p w14:paraId="44CD2D06" w14:textId="77777777" w:rsidR="00E515B6" w:rsidRDefault="00000000">
      <w:pPr>
        <w:tabs>
          <w:tab w:val="left" w:pos="360"/>
        </w:tabs>
        <w:spacing w:after="50" w:line="216" w:lineRule="auto"/>
        <w:ind w:left="360" w:hanging="360"/>
        <w:jc w:val="both"/>
      </w:pPr>
      <w:r>
        <w:rPr>
          <w:sz w:val="16"/>
          <w:szCs w:val="16"/>
        </w:rPr>
        <w:t>[10]</w:t>
      </w:r>
      <w:r>
        <w:rPr>
          <w:sz w:val="16"/>
          <w:szCs w:val="16"/>
        </w:rPr>
        <w:tab/>
        <w:t xml:space="preserve">Y. Liu </w:t>
      </w:r>
      <w:r>
        <w:rPr>
          <w:i/>
          <w:iCs/>
          <w:sz w:val="16"/>
          <w:szCs w:val="16"/>
        </w:rPr>
        <w:t>et al.</w:t>
      </w:r>
      <w:r>
        <w:rPr>
          <w:sz w:val="16"/>
          <w:szCs w:val="16"/>
        </w:rPr>
        <w:t xml:space="preserve">, “G-Eval: NLG evaluation using GPT-4 with better human alignment,” in </w:t>
      </w:r>
      <w:r>
        <w:rPr>
          <w:i/>
          <w:iCs/>
          <w:sz w:val="16"/>
          <w:szCs w:val="16"/>
        </w:rPr>
        <w:t>Proc. Conf. Empirical Methods Nat. Lang. Process. (EMNLP)</w:t>
      </w:r>
      <w:r>
        <w:rPr>
          <w:sz w:val="16"/>
          <w:szCs w:val="16"/>
        </w:rPr>
        <w:t>, Singapore, 2023.</w:t>
      </w:r>
    </w:p>
    <w:p w14:paraId="0E4506F7" w14:textId="77777777" w:rsidR="00E515B6" w:rsidRDefault="00000000">
      <w:pPr>
        <w:tabs>
          <w:tab w:val="left" w:pos="360"/>
        </w:tabs>
        <w:spacing w:after="50" w:line="216" w:lineRule="auto"/>
        <w:ind w:left="360" w:hanging="360"/>
        <w:jc w:val="both"/>
      </w:pPr>
      <w:r>
        <w:rPr>
          <w:sz w:val="16"/>
          <w:szCs w:val="16"/>
        </w:rPr>
        <w:t>[11]</w:t>
      </w:r>
      <w:r>
        <w:rPr>
          <w:sz w:val="16"/>
          <w:szCs w:val="16"/>
        </w:rPr>
        <w:tab/>
        <w:t xml:space="preserve">E. Gamma, R. Helm, R. Johnson, and J. </w:t>
      </w:r>
      <w:proofErr w:type="spellStart"/>
      <w:r>
        <w:rPr>
          <w:sz w:val="16"/>
          <w:szCs w:val="16"/>
        </w:rPr>
        <w:t>Vlissides</w:t>
      </w:r>
      <w:proofErr w:type="spellEnd"/>
      <w:r>
        <w:rPr>
          <w:sz w:val="16"/>
          <w:szCs w:val="16"/>
        </w:rPr>
        <w:t xml:space="preserve">, </w:t>
      </w:r>
      <w:r>
        <w:rPr>
          <w:i/>
          <w:iCs/>
          <w:sz w:val="16"/>
          <w:szCs w:val="16"/>
        </w:rPr>
        <w:t>Design Patterns: Elements of Reusable Object-Oriented Software</w:t>
      </w:r>
      <w:r>
        <w:rPr>
          <w:sz w:val="16"/>
          <w:szCs w:val="16"/>
        </w:rPr>
        <w:t>. Reading, MA, USA: Addison-Wesley, 1994.</w:t>
      </w:r>
    </w:p>
    <w:p w14:paraId="0928E5A9" w14:textId="77777777" w:rsidR="00E515B6" w:rsidRDefault="00000000">
      <w:pPr>
        <w:tabs>
          <w:tab w:val="left" w:pos="360"/>
        </w:tabs>
        <w:spacing w:after="50" w:line="216" w:lineRule="auto"/>
        <w:ind w:left="360" w:hanging="360"/>
        <w:jc w:val="both"/>
      </w:pPr>
      <w:r>
        <w:rPr>
          <w:sz w:val="16"/>
          <w:szCs w:val="16"/>
        </w:rPr>
        <w:t>[12]</w:t>
      </w:r>
      <w:r>
        <w:rPr>
          <w:sz w:val="16"/>
          <w:szCs w:val="16"/>
        </w:rPr>
        <w:tab/>
        <w:t xml:space="preserve">B. Meyer, </w:t>
      </w:r>
      <w:r>
        <w:rPr>
          <w:i/>
          <w:iCs/>
          <w:sz w:val="16"/>
          <w:szCs w:val="16"/>
        </w:rPr>
        <w:t>Object-Oriented Software Construction</w:t>
      </w:r>
      <w:r>
        <w:rPr>
          <w:sz w:val="16"/>
          <w:szCs w:val="16"/>
        </w:rPr>
        <w:t>, 2nd ed. Upper Saddle River, NJ, USA: Prentice Hall, 1997.</w:t>
      </w:r>
    </w:p>
    <w:p w14:paraId="00FF3327" w14:textId="77777777" w:rsidR="00E515B6" w:rsidRDefault="00000000">
      <w:pPr>
        <w:tabs>
          <w:tab w:val="left" w:pos="360"/>
        </w:tabs>
        <w:spacing w:after="50" w:line="216" w:lineRule="auto"/>
        <w:ind w:left="360" w:hanging="360"/>
        <w:jc w:val="both"/>
      </w:pPr>
      <w:r>
        <w:rPr>
          <w:sz w:val="16"/>
          <w:szCs w:val="16"/>
        </w:rPr>
        <w:t>[13]</w:t>
      </w:r>
      <w:r>
        <w:rPr>
          <w:sz w:val="16"/>
          <w:szCs w:val="16"/>
        </w:rPr>
        <w:tab/>
      </w:r>
      <w:proofErr w:type="spellStart"/>
      <w:r>
        <w:rPr>
          <w:sz w:val="16"/>
          <w:szCs w:val="16"/>
        </w:rPr>
        <w:t>Vercel</w:t>
      </w:r>
      <w:proofErr w:type="spellEnd"/>
      <w:r>
        <w:rPr>
          <w:sz w:val="16"/>
          <w:szCs w:val="16"/>
        </w:rPr>
        <w:t xml:space="preserve"> Inc., “AI SDK documentation,” [Online]. Available: https://ai-sdk.dev/docs. [Accessed: Oct. 26, 2026].</w:t>
      </w:r>
    </w:p>
    <w:sectPr w:rsidR="00E515B6">
      <w:type w:val="continuous"/>
      <w:pgSz w:w="11906" w:h="16838"/>
      <w:pgMar w:top="54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E55F2" w14:textId="77777777" w:rsidR="00A01E7E" w:rsidRDefault="00A01E7E">
      <w:r>
        <w:separator/>
      </w:r>
    </w:p>
  </w:endnote>
  <w:endnote w:type="continuationSeparator" w:id="0">
    <w:p w14:paraId="4410604C" w14:textId="77777777" w:rsidR="00A01E7E" w:rsidRDefault="00A01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0167D" w14:textId="77777777" w:rsidR="00E515B6" w:rsidRDefault="00E515B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5C68D" w14:textId="77777777" w:rsidR="00E515B6" w:rsidRDefault="00000000">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9E856" w14:textId="77777777" w:rsidR="00A01E7E" w:rsidRDefault="00A01E7E">
      <w:r>
        <w:separator/>
      </w:r>
    </w:p>
  </w:footnote>
  <w:footnote w:type="continuationSeparator" w:id="0">
    <w:p w14:paraId="730948A5" w14:textId="77777777" w:rsidR="00A01E7E" w:rsidRDefault="00A01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475C7"/>
    <w:multiLevelType w:val="hybridMultilevel"/>
    <w:tmpl w:val="1FCEA328"/>
    <w:lvl w:ilvl="0" w:tplc="CE16B926">
      <w:start w:val="1"/>
      <w:numFmt w:val="bullet"/>
      <w:lvlText w:val="●"/>
      <w:lvlJc w:val="left"/>
      <w:pPr>
        <w:ind w:left="720" w:hanging="360"/>
      </w:pPr>
    </w:lvl>
    <w:lvl w:ilvl="1" w:tplc="5B2AC3F2">
      <w:start w:val="1"/>
      <w:numFmt w:val="bullet"/>
      <w:lvlText w:val="○"/>
      <w:lvlJc w:val="left"/>
      <w:pPr>
        <w:ind w:left="1440" w:hanging="360"/>
      </w:pPr>
    </w:lvl>
    <w:lvl w:ilvl="2" w:tplc="A6FCA24E">
      <w:start w:val="1"/>
      <w:numFmt w:val="bullet"/>
      <w:lvlText w:val="■"/>
      <w:lvlJc w:val="left"/>
      <w:pPr>
        <w:ind w:left="2160" w:hanging="360"/>
      </w:pPr>
    </w:lvl>
    <w:lvl w:ilvl="3" w:tplc="3AE0F8D6">
      <w:start w:val="1"/>
      <w:numFmt w:val="bullet"/>
      <w:lvlText w:val="●"/>
      <w:lvlJc w:val="left"/>
      <w:pPr>
        <w:ind w:left="2880" w:hanging="360"/>
      </w:pPr>
    </w:lvl>
    <w:lvl w:ilvl="4" w:tplc="E4D8C698">
      <w:start w:val="1"/>
      <w:numFmt w:val="bullet"/>
      <w:lvlText w:val="○"/>
      <w:lvlJc w:val="left"/>
      <w:pPr>
        <w:ind w:left="3600" w:hanging="360"/>
      </w:pPr>
    </w:lvl>
    <w:lvl w:ilvl="5" w:tplc="60924D34">
      <w:start w:val="1"/>
      <w:numFmt w:val="bullet"/>
      <w:lvlText w:val="■"/>
      <w:lvlJc w:val="left"/>
      <w:pPr>
        <w:ind w:left="4320" w:hanging="360"/>
      </w:pPr>
    </w:lvl>
    <w:lvl w:ilvl="6" w:tplc="4208B3C6">
      <w:start w:val="1"/>
      <w:numFmt w:val="bullet"/>
      <w:lvlText w:val="●"/>
      <w:lvlJc w:val="left"/>
      <w:pPr>
        <w:ind w:left="5040" w:hanging="360"/>
      </w:pPr>
    </w:lvl>
    <w:lvl w:ilvl="7" w:tplc="40BA897E">
      <w:start w:val="1"/>
      <w:numFmt w:val="bullet"/>
      <w:lvlText w:val="●"/>
      <w:lvlJc w:val="left"/>
      <w:pPr>
        <w:ind w:left="5760" w:hanging="360"/>
      </w:pPr>
    </w:lvl>
    <w:lvl w:ilvl="8" w:tplc="0EB8E5D0">
      <w:start w:val="1"/>
      <w:numFmt w:val="bullet"/>
      <w:lvlText w:val="●"/>
      <w:lvlJc w:val="left"/>
      <w:pPr>
        <w:ind w:left="6480" w:hanging="360"/>
      </w:pPr>
    </w:lvl>
  </w:abstractNum>
  <w:num w:numId="1" w16cid:durableId="4853208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5B6"/>
    <w:rsid w:val="004305A2"/>
    <w:rsid w:val="006C1C1C"/>
    <w:rsid w:val="008E6983"/>
    <w:rsid w:val="00A01E7E"/>
    <w:rsid w:val="00E51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91C63"/>
  <w15:docId w15:val="{4FED3A8C-84DB-4264-B003-3F41C93C9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160" w:after="80"/>
      <w:jc w:val="center"/>
      <w:outlineLvl w:val="0"/>
    </w:pPr>
    <w:rPr>
      <w:b/>
      <w:bCs/>
      <w:smallCaps/>
      <w:color w:val="000000"/>
    </w:rPr>
  </w:style>
  <w:style w:type="paragraph" w:styleId="Heading2">
    <w:name w:val="heading 2"/>
    <w:uiPriority w:val="9"/>
    <w:unhideWhenUsed/>
    <w:qFormat/>
    <w:pPr>
      <w:keepNext/>
      <w:keepLines/>
      <w:spacing w:before="120" w:after="60"/>
      <w:jc w:val="center"/>
      <w:outlineLvl w:val="1"/>
    </w:pPr>
    <w:rPr>
      <w:b/>
      <w:bCs/>
      <w:smallCaps/>
      <w:color w:val="000000"/>
    </w:rPr>
  </w:style>
  <w:style w:type="paragraph" w:styleId="Heading3">
    <w:name w:val="heading 3"/>
    <w:uiPriority w:val="9"/>
    <w:unhideWhenUsed/>
    <w:qFormat/>
    <w:pPr>
      <w:keepNext/>
      <w:keepLines/>
      <w:spacing w:before="80" w:after="40"/>
      <w:outlineLvl w:val="2"/>
    </w:pPr>
    <w:rPr>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2670</Words>
  <Characters>15219</Characters>
  <Application>Microsoft Office Word</Application>
  <DocSecurity>0</DocSecurity>
  <Lines>126</Lines>
  <Paragraphs>35</Paragraphs>
  <ScaleCrop>false</ScaleCrop>
  <Company/>
  <LinksUpToDate>false</LinksUpToDate>
  <CharactersWithSpaces>17854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PromptBench: A Smart Framework for Prompt Testing and Response Evaluation</dc:title>
  <dc:creator>PromptBench authors</dc:creator>
  <cp:lastModifiedBy>Potukuchi Bindu 2420090092</cp:lastModifiedBy>
  <cp:revision>3</cp:revision>
  <dcterms:created xsi:type="dcterms:W3CDTF">2026-10-26T07:11:00Z</dcterms:created>
  <dcterms:modified xsi:type="dcterms:W3CDTF">2026-10-26T07:14:00Z</dcterms:modified>
</cp:coreProperties>
</file>