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6E56"/>
          <w:sz w:val="40"/>
          <w:szCs w:val="40"/>
        </w:rPr>
        <w:t xml:space="preserve">BREATHE</w:t>
      </w:r>
    </w:p>
    <w:p>
      <w:pPr>
        <w:spacing w:after="200"/>
      </w:pPr>
      <w:r>
        <w:rPr>
          <w:color w:val="5F5E5A"/>
          <w:sz w:val="24"/>
          <w:szCs w:val="24"/>
        </w:rPr>
        <w:t xml:space="preserve">Personalized Air Quality Health Risk System — Project Overview &amp; Status</w:t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40"/>
      </w:pPr>
      <w:r>
        <w:t xml:space="preserve">A single AQI number can't tell you how badly a specific person will actually be affected. A healthy 25-year-old and a 70-year-old with asthma breathing the exact same polluted air face very different real health risk — the raw AQI treats them identically. That's the core problem BREATHE is built to solve.</w:t>
      </w:r>
    </w:p>
    <w:p>
      <w:pPr>
        <w:spacing w:after="140"/>
      </w:pPr>
      <w:r>
        <w:t xml:space="preserve">It works in three layers. First, low-cost outdoor sensors report live pollution levels across a neighborhood, so the system knows the actual air quality at a person's specific location, not just a citywide average. Second, that reading is combined with the person's own health profile — age, existing conditions, how long they spend outdoors — to produce a risk score tailored to them, not a generic one. Third, a smartwatch adds a live signal from the person's own body: if their heart rate spikes or blood oxygen dips while they're out in poor air, that's real-time evidence the pollution is affecting them right now, so the score adjusts to reflect that.</w:t>
      </w:r>
    </w:p>
    <w:p>
      <w:pPr>
        <w:spacing w:after="140"/>
      </w:pPr>
      <w:r>
        <w:t xml:space="preserve">Current deployment scope: an outdoor neighborhood-scale sensor mesh, not an indoor space. This was a deliberate decision — the reasoning is explained under Planned Progress below.</w:t>
      </w:r>
    </w:p>
    <w:p>
      <w:pPr>
        <w:pStyle w:val="Heading1"/>
        <w:spacing w:after="120" w:before="240"/>
      </w:pPr>
      <w:r>
        <w:t xml:space="preserve">Current Progress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Backend —</w:t>
      </w:r>
      <w:r>
        <w:t xml:space="preserve"> FastAPI service built and live-tested: /health, /ingest, /predict, /vitals endpoints, backed by SQLite (sensors, readings, vitals, user_baselines tables).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Spatial layer —</w:t>
      </w:r>
      <w:r>
        <w:t xml:space="preserve"> IDW spatial interpolation (power p=2, configurable trust radius, default 500m) implemented and verified against three real test cases: exact sensor match, multi-sensor blend, and out-of-radius fallback.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Codebase audit —</w:t>
      </w:r>
      <w:r>
        <w:t xml:space="preserve"> Existing repo checked against the original project disclosure; concrete gaps identified and a build roadmap agreed on (this document reflects the current, corrected plan).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Biometric path decided —</w:t>
      </w:r>
      <w:r>
        <w:t xml:space="preserve"> Smartwatch integration will go through the Fitbit Web API, polled from the backend — no native mobile app needed for the prototype. Built so it can later be swapped for Android Health Connect without changing anything else in the pipeline.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NHANES data —</w:t>
      </w:r>
      <w:r>
        <w:t xml:space="preserve"> The two most recent public health-survey cycles (2015-16, 2017-18) identified and downloaded for building the personal-susceptibility model.</w:t>
      </w:r>
    </w:p>
    <w:p>
      <w:pPr>
        <w:pStyle w:val="Heading1"/>
        <w:spacing w:after="120" w:before="240"/>
      </w:pPr>
      <w:r>
        <w:t xml:space="preserve">Planned Progress — What's Changing and Why</w:t>
      </w:r>
    </w:p>
    <w:p>
      <w:pPr>
        <w:spacing w:after="140"/>
      </w:pPr>
      <w:r>
        <w:t xml:space="preserve">Two significant course-corrections were made after digging into the details. Both are explained here so it's clear what's kept, what's changing, and the reasoning.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Kept unchanged —</w:t>
      </w:r>
      <w:r>
        <w:t xml:space="preserve"> The AQI Forecaster (predicts near-future pollution trend) and the overall PHRS scoring formula (adds up pollution exposure, then multiplies by personal vulnerability). Both remain structurally as originally designed.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Changing — NHANES scope.</w:t>
      </w:r>
      <w:r>
        <w:t xml:space="preserve"> The original plan linked each survey respondent to their county's pollution history to train the susceptibility model. That data is not publicly downloadable — U.S. privacy rules restrict it to a formal research-access process taking months, which doesn't fit the timeline. Fix: the model instead learns general personal susceptibility (from age, existing conditions, BMI, smoking) without needing location data. The location-specific pollution response is supplied separately, from a published study (below) — so the final score still accounts for both, just assembled from two sources instead of one combined dataset.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Changing — calibration source.</w:t>
      </w:r>
      <w:r>
        <w:t xml:space="preserve"> The project's original reference dataset for tuning the formula's weights turned out to be synthetic and not tied to any real city — confirmed by the codebase's own internal notes. Fix: switch to a 2025 published study that measured real health-risk categories for Delhi and Varanasi at known pollution levels. This is used as an answer key — the model's output is checked against it, and weights are adjusted until they agree, giving the formula a real-world grounding it didn't have before.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Changing — deployment scope.</w:t>
      </w:r>
      <w:r>
        <w:t xml:space="preserve"> Indoor use was considered, but indoor air depends on ventilation, cooking, and AC — dynamics the available training data (city-wide outdoor pollution history) knows nothing about. An outdoor neighborhood mesh doesn't have this mismatch, since local outdoor pollution genuinely follows the same city-wide patterns the model already learned. Fix: prototype is scoped to outdoor/neighborhood deployment.</w:t>
      </w:r>
    </w:p>
    <w:p>
      <w:pPr>
        <w:pStyle w:val="Heading1"/>
        <w:spacing w:after="120" w:before="240"/>
      </w:pPr>
      <w:r>
        <w:t xml:space="preserve">Pipeline Architecture</w:t>
      </w:r>
    </w:p>
    <w:p>
      <w:pPr>
        <w:spacing w:after="140"/>
      </w:pPr>
      <w:r>
        <w:t xml:space="preserve">The system runs as two separate pipelines: one-time offline training, and per-request runtime inference. Keeping them separate is what makes the app fast — all the heavy checking against real-world data happens once, ahead of time, not on every prediction.</w:t>
      </w:r>
    </w:p>
    <w:p>
      <w:pPr>
        <w:pStyle w:val="Heading2"/>
        <w:spacing w:after="100" w:before="200"/>
      </w:pPr>
      <w:r>
        <w:t xml:space="preserve">1. Training pipeline (offline, one-time)</w:t>
      </w:r>
    </w:p>
    <w:p>
      <w:pPr>
        <w:spacing w:after="160"/>
      </w:pPr>
      <w:r>
        <w:drawing>
          <wp:inline distT="0" distB="0" distL="0" distR="0">
            <wp:extent cx="301942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2. Runtime pipeline (per prediction request)</w:t>
      </w:r>
    </w:p>
    <w:p>
      <w:pPr>
        <w:spacing w:after="160"/>
      </w:pPr>
      <w:r>
        <w:drawing>
          <wp:inline distT="0" distB="0" distL="0" distR="0">
            <wp:extent cx="3019425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Planned Work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NHANES classifier —</w:t>
      </w:r>
      <w:r>
        <w:t xml:space="preserve"> Train on the 2-cycle subset and wire its output into the PHRS engine, replacing the current hardcoded condition-weight table.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PHRS calibration —</w:t>
      </w:r>
      <w:r>
        <w:t xml:space="preserve"> Run known scenarios through the formula, compare against the published Delhi/Varanasi risk categories, and tune weights until they agree.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Hardware —</w:t>
      </w:r>
      <w:r>
        <w:t xml:space="preserve"> Flash one real ESP32 with PMS5003 + DHT22, wired to /ingest; pair with 2-3 simulated nodes so the IDW mesh has enough points to visibly blend for a demo.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Biometrics —</w:t>
      </w:r>
      <w:r>
        <w:t xml:space="preserve"> Register a Fitbit developer app, implement backend polling for heart rate + SpO2, feed into /vitals, apply the biometric risk modifier.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AQI Forecaster —</w:t>
      </w:r>
      <w:r>
        <w:t xml:space="preserve"> Its original training data file is missing from the repo and needs to be sourced or regenerated before retraining.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Frontend —</w:t>
      </w:r>
      <w:r>
        <w:t xml:space="preserve"> Build a minimal single-page demo showing live score, category, and sensor map.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Integration —</w:t>
      </w:r>
      <w:r>
        <w:t xml:space="preserve"> Full end-to-end test with real hardware and a real watch; prepare a scripted fallback in case live hardware misbehaves during the demo.</w:t>
      </w:r>
    </w:p>
    <w:p>
      <w:pPr>
        <w:pStyle w:val="Heading1"/>
        <w:spacing w:after="120" w:before="240"/>
      </w:pPr>
      <w:r>
        <w:t xml:space="preserve">Known Limitations (stated honestly)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NHANES sample is small (roughly 5,000-6,000 people after merging both cycles) and has no geographic linkage — it predicts general personal susceptibility, not a location-specific pollution exposure history.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PHRS coefficients are literature-informed engineering estimates, calibrated against one published study — not independently peer-validated for this exact formula.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AQI Forecaster is trained on city-level data. Its temporal trend patterns transfer reasonably to an outdoor neighborhood mesh (the chosen deployment scope) but would not have transferred to an indoor use case.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0e67685eb36d95d075ec343fdf719d9d7636459.png"/><Relationship Id="rId8" Type="http://schemas.openxmlformats.org/officeDocument/2006/relationships/image" Target="media/80e2e101ad188c92e16598cdc6483ce5b093c57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2026-07-13T08:53:15.117Z</dcterms:created>
  <dcterms:modified xsi:type="dcterms:W3CDTF">2026-07-13T08:53:15.128Z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