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AgentOS Product Direction Research</w:t>
      </w:r>
    </w:p>
    <w:p>
      <w:r>
        <w:t>A market assessment for deciding whether AgentOS should remain an AI agent governance product, become a narrower commercial product, or be replaced by a different idea.</w:t>
      </w:r>
    </w:p>
    <w:p>
      <w:pPr>
        <w:pStyle w:val="Heading1"/>
      </w:pPr>
      <w:r>
        <w:t>Conclusion</w:t>
      </w:r>
    </w:p>
    <w:p>
      <w:r>
        <w:t>AgentOS addresses a real and growing business problem. Companies increasingly want AI agents to take actions in their systems, yet they often cannot answer who authorized a specific action, what the agent was allowed to do, whether the action changed after approval, or how to recover from a bad outcome. This is a serious problem for larger organisations and is moving into mid-market companies as agent tools become easier to deploy.</w:t>
      </w:r>
    </w:p>
    <w:p>
      <w:r>
        <w:t>The category is already competitive. AgentOS should not be sold as the first AI agent governance platform. Major identity and security vendors, as well as focused startups, already offer parts of this capability. The evidence does support a narrower opportunity: a vendor-neutral action control and recovery layer for AI agents that make high-consequence changes in business systems.</w:t>
      </w:r>
    </w:p>
    <w:p>
      <w:r>
        <w:t>The recommended decision is to keep the AgentOS foundation, stop expanding it as a broad dashboard, and validate one specific workflow. The most promising initial hypothesis is governed AI actions in finance operations or IT operations. These workflows have identifiable owners, measurable risk, existing approval habits, and actions that can be blocked, delayed, or compensated.</w:t>
      </w:r>
    </w:p>
    <w:p>
      <w:pPr>
        <w:pStyle w:val="Heading1"/>
      </w:pPr>
      <w:r>
        <w:t>What the market evidence says</w:t>
      </w:r>
    </w:p>
    <w:p>
      <w:r>
        <w:t>The need is real, but it is not an empty market. Gartner reported in April 2026 that only 13 percent of organisations believe they have the right AI-agent governance in place. It also predicted substantial agent growth in large enterprises. [1] A Cloud Security Alliance survey reported that most organisations use more than one agent platform and described gaps in real-time inventory, runtime authorization, and traceability. The survey was commissioned by a vendor, so its findings should be treated as directional rather than neutral market measurement. [2]</w:t>
      </w:r>
    </w:p>
    <w:p>
      <w:r>
        <w:t>Public standards bodies also treat agent identity, authorization, delegation, auditability, and non-repudiation as unresolved deployment problems. NIST published a 2026 concept paper specifically seeking implementation approaches, while the World Economic Forum published an agent authorization framework for governed deployment. [3] [4]</w:t>
      </w:r>
    </w:p>
    <w:tbl>
      <w:tblPr>
        <w:tblW w:type="auto" w:w="0"/>
        <w:jc w:val="center"/>
        <w:tblLayout w:type="fixed"/>
        <w:tblLook w:firstColumn="1" w:firstRow="1" w:lastColumn="0" w:lastRow="0" w:noHBand="0" w:noVBand="1" w:val="04A0"/>
      </w:tblPr>
      <w:tblGrid>
        <w:gridCol w:w="5040"/>
        <w:gridCol w:w="5040"/>
      </w:tblGrid>
      <w:tr>
        <w:tc>
          <w:tcPr>
            <w:tcW w:type="dxa" w:w="2880"/>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Evidence</w:t>
            </w:r>
          </w:p>
        </w:tc>
        <w:tc>
          <w:tcPr>
            <w:tcW w:type="dxa" w:w="705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What it means for a product decision</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Governance is inadequate</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There is buyer pain, especially where agents can access systems, data, or money.</w:t>
            </w:r>
          </w:p>
        </w:tc>
      </w:tr>
      <w:tr>
        <w:tc>
          <w:tcPr>
            <w:tcW w:type="dxa" w:w="2880"/>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The market has many vendors</w:t>
            </w:r>
          </w:p>
        </w:tc>
        <w:tc>
          <w:tcPr>
            <w:tcW w:type="dxa" w:w="705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 generic AI governance platform will have a difficult sales and marketing path.</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Standards are still forming</w:t>
            </w:r>
          </w:p>
        </w:tc>
        <w:tc>
          <w:tcPr>
            <w:tcW w:type="dxa" w:w="70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 small company can contribute a useful product or integration, but should avoid betting on a proprietary standard alone.</w:t>
            </w:r>
          </w:p>
        </w:tc>
      </w:tr>
      <w:tr>
        <w:tc>
          <w:tcPr>
            <w:tcW w:type="dxa" w:w="2880"/>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High-risk actions need controls</w:t>
            </w:r>
          </w:p>
        </w:tc>
        <w:tc>
          <w:tcPr>
            <w:tcW w:type="dxa" w:w="705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The buyer value is not an AI model. It is the ability to permit useful automation without losing accountability or operational control.</w:t>
            </w:r>
          </w:p>
        </w:tc>
      </w:tr>
    </w:tbl>
    <w:p>
      <w:pPr>
        <w:spacing w:after="20"/>
      </w:pPr>
    </w:p>
    <w:p>
      <w:pPr>
        <w:pStyle w:val="Heading1"/>
      </w:pPr>
      <w:r>
        <w:t>The problem worth solving</w:t>
      </w:r>
    </w:p>
    <w:p>
      <w:r>
        <w:t>There is no credible “zero-competition” problem that literally affects every company. When a problem is broad, painful, and solvable, competitors appear. The practical goal is to find a problem where existing products leave an expensive gap and where a small team can reach a first customer.</w:t>
      </w:r>
    </w:p>
    <w:p>
      <w:r>
        <w:t>The strongest problem statement for AgentOS is: companies cannot safely let AI agents make consequential changes across the tools they already use. Existing tools may manage identity, watch activity, scan for threats, or add basic approvals. The missing operational unit is an exact action that is understandable to a human, tied to authority and policy, executed once, recorded as evidence, and recoverable when possible.</w:t>
      </w:r>
    </w:p>
    <w:p>
      <w:r>
        <w:t>This problem becomes urgent at the transition from an agent giving advice to an agent writing to a system. Examples include changing a customer record, issuing a refund, altering cloud infrastructure, modifying permissions, paying a vendor, changing an order, or sending an external communication. Government guidance released by the Five Eyes partners advises organisations to deploy incrementally, keep agents in low-risk roles, apply strict privilege control and maintain human oversight. [5]</w:t>
      </w:r>
    </w:p>
    <w:p>
      <w:pPr>
        <w:pStyle w:val="Heading1"/>
      </w:pPr>
      <w:r>
        <w:t>Competitive reality</w:t>
      </w:r>
    </w:p>
    <w:tbl>
      <w:tblPr>
        <w:tblW w:type="auto" w:w="0"/>
        <w:jc w:val="center"/>
        <w:tblLayout w:type="fixed"/>
        <w:tblLook w:firstColumn="1" w:firstRow="1" w:lastColumn="0" w:lastRow="0" w:noHBand="0" w:noVBand="1" w:val="04A0"/>
      </w:tblPr>
      <w:tblGrid>
        <w:gridCol w:w="3360"/>
        <w:gridCol w:w="3360"/>
        <w:gridCol w:w="3360"/>
      </w:tblGrid>
      <w:tr>
        <w:tc>
          <w:tcPr>
            <w:tcW w:type="dxa" w:w="237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Market layer</w:t>
            </w:r>
          </w:p>
        </w:tc>
        <w:tc>
          <w:tcPr>
            <w:tcW w:type="dxa" w:w="3024"/>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Representative products</w:t>
            </w:r>
          </w:p>
        </w:tc>
        <w:tc>
          <w:tcPr>
            <w:tcW w:type="dxa" w:w="453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Implication for AgentOS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Agent identity and lifecycle</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Microsoft Entra Agent ID and Okta for AI Agents</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Do not try to replace enterprise identity providers. Integrate with them.</w:t>
            </w:r>
          </w:p>
        </w:tc>
      </w:tr>
      <w:tr>
        <w:tc>
          <w:tcPr>
            <w:tcW w:type="dxa" w:w="237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Agent discovery and runtime security</w:t>
            </w:r>
          </w:p>
        </w:tc>
        <w:tc>
          <w:tcPr>
            <w:tcW w:type="dxa" w:w="302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Zenity, CyberArk and Palo Alto Networks</w:t>
            </w:r>
          </w:p>
        </w:tc>
        <w:tc>
          <w:tcPr>
            <w:tcW w:type="dxa" w:w="453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 broad security platform battle requires capital, integrations, and enterprise distribution.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Action authorization and approvals</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Kynara, Helixar, govern.sh, Caracal and Delego</w:t>
            </w:r>
          </w:p>
        </w:tc>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The closest overlap. “Allow deny approve audit” is not enough differentiation.</w:t>
            </w:r>
          </w:p>
        </w:tc>
      </w:tr>
      <w:tr>
        <w:tc>
          <w:tcPr>
            <w:tcW w:type="dxa" w:w="237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Workflow and automation platforms</w:t>
            </w:r>
          </w:p>
        </w:tc>
        <w:tc>
          <w:tcPr>
            <w:tcW w:type="dxa" w:w="302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Existing ERP, CRM, ITSM, payment and low-code tools</w:t>
            </w:r>
          </w:p>
        </w:tc>
        <w:tc>
          <w:tcPr>
            <w:tcW w:type="dxa" w:w="453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They own the systems of record. AgentOS must make their actions safer, not attempt to replace them.</w:t>
            </w:r>
          </w:p>
        </w:tc>
      </w:tr>
    </w:tbl>
    <w:p>
      <w:pPr>
        <w:spacing w:after="20"/>
      </w:pPr>
    </w:p>
    <w:p>
      <w:r>
        <w:t>This competition does not make the project worthless. It changes the winning strategy. AgentOS needs a specific buyer, a narrow action surface, and a clear business result. It should not claim to solve all AI governance before it proves one difficult workflow.</w:t>
      </w:r>
    </w:p>
    <w:p>
      <w:pPr>
        <w:pStyle w:val="Heading1"/>
      </w:pPr>
      <w:r>
        <w:t>Product directions compared</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232"/>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Direction</w:t>
            </w:r>
          </w:p>
        </w:tc>
        <w:tc>
          <w:tcPr>
            <w:tcW w:type="dxa" w:w="273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Pain and willingness to pay</w:t>
            </w:r>
          </w:p>
        </w:tc>
        <w:tc>
          <w:tcPr>
            <w:tcW w:type="dxa" w:w="129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Competition</w:t>
            </w:r>
          </w:p>
        </w:tc>
        <w:tc>
          <w:tcPr>
            <w:tcW w:type="dxa" w:w="1728"/>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Fit with current AgentOS</w:t>
            </w:r>
          </w:p>
        </w:tc>
        <w:tc>
          <w:tcPr>
            <w:tcW w:type="dxa" w:w="1944"/>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Recommendation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Generic agent governance platform</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 for large enterprises, but abstract for most buyers</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Very high</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Do not lead with this</w:t>
            </w:r>
          </w:p>
        </w:tc>
      </w:tr>
      <w:tr>
        <w:tc>
          <w:tcPr>
            <w:tcW w:type="dxa" w:w="2232"/>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Agent discovery and shadow AI inventory</w:t>
            </w:r>
          </w:p>
        </w:tc>
        <w:tc>
          <w:tcPr>
            <w:tcW w:type="dxa" w:w="273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 security concern</w:t>
            </w:r>
          </w:p>
        </w:tc>
        <w:tc>
          <w:tcPr>
            <w:tcW w:type="dxa" w:w="129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Very high</w:t>
            </w:r>
          </w:p>
        </w:tc>
        <w:tc>
          <w:tcPr>
            <w:tcW w:type="dxa" w:w="1728"/>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Medium</w:t>
            </w:r>
          </w:p>
        </w:tc>
        <w:tc>
          <w:tcPr>
            <w:tcW w:type="dxa" w:w="194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Do not build first</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Compliance reporting and audit exports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Useful in regulated sectors</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Medium to high</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Add later as evidence capability</w:t>
            </w:r>
          </w:p>
        </w:tc>
      </w:tr>
      <w:tr>
        <w:tc>
          <w:tcPr>
            <w:tcW w:type="dxa" w:w="2232"/>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Control and recovery for AI initiated business changes</w:t>
            </w:r>
          </w:p>
        </w:tc>
        <w:tc>
          <w:tcPr>
            <w:tcW w:type="dxa" w:w="273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 when agents can alter data, money, access, or production systems</w:t>
            </w:r>
          </w:p>
        </w:tc>
        <w:tc>
          <w:tcPr>
            <w:tcW w:type="dxa" w:w="129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Emerging but real</w:t>
            </w:r>
          </w:p>
        </w:tc>
        <w:tc>
          <w:tcPr>
            <w:tcW w:type="dxa" w:w="1728"/>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w:t>
            </w:r>
          </w:p>
        </w:tc>
        <w:tc>
          <w:tcPr>
            <w:tcW w:type="dxa" w:w="194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Best direction to validate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General productivity assistant for small companies</w:t>
            </w:r>
          </w:p>
        </w:tc>
        <w:tc>
          <w:tcPr>
            <w:tcW w:type="dxa" w:w="27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Broad interest but unclear budget and crowded tools</w:t>
            </w:r>
          </w:p>
        </w:tc>
        <w:tc>
          <w:tcPr>
            <w:tcW w:type="dxa" w:w="12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Very high</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Low</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Avoid without a unique distribution channel</w:t>
            </w:r>
          </w:p>
        </w:tc>
      </w:tr>
    </w:tbl>
    <w:p>
      <w:pPr>
        <w:spacing w:after="20"/>
      </w:pPr>
    </w:p>
    <w:p>
      <w:pPr>
        <w:pStyle w:val="Heading1"/>
      </w:pPr>
      <w:r>
        <w:t>Recommended product thesis</w:t>
      </w:r>
    </w:p>
    <w:p>
      <w:r>
        <w:t>Evolve AgentOS into an action control and recovery layer for existing AI agents. The product would sit between an agent and a business system when the agent proposes a write action. It would not build the agent, replace the business system, or attempt to monitor every AI conversation.</w:t>
      </w:r>
    </w:p>
    <w:p>
      <w:pPr>
        <w:pStyle w:val="Heading2"/>
      </w:pPr>
      <w:r>
        <w:t>The first useful version</w:t>
      </w:r>
    </w:p>
    <w:p>
      <w:pPr>
        <w:pStyle w:val="ListBullet"/>
        <w:spacing w:after="60"/>
      </w:pPr>
      <w:r>
        <w:t>Accept a structured proposed action from an SDK, API, or MCP gateway.</w:t>
      </w:r>
    </w:p>
    <w:p>
      <w:pPr>
        <w:pStyle w:val="ListBullet"/>
        <w:spacing w:after="60"/>
      </w:pPr>
      <w:r>
        <w:t>Show the business effect in plain language, including the target record, before and after values, owner, risk, and reversibility.</w:t>
      </w:r>
    </w:p>
    <w:p>
      <w:pPr>
        <w:pStyle w:val="ListBullet"/>
        <w:spacing w:after="60"/>
      </w:pPr>
      <w:r>
        <w:t>Apply policy: allow, hold for named approval, block, or require a safer alternative.</w:t>
      </w:r>
    </w:p>
    <w:p>
      <w:pPr>
        <w:pStyle w:val="ListBullet"/>
        <w:spacing w:after="60"/>
      </w:pPr>
      <w:r>
        <w:t>Bind approval to the exact payload and re-check authority immediately before execution.</w:t>
      </w:r>
    </w:p>
    <w:p>
      <w:pPr>
        <w:pStyle w:val="ListBullet"/>
        <w:spacing w:after="60"/>
      </w:pPr>
      <w:r>
        <w:t>Record an execution receipt with the actual result, not only the agent’s claimed result.</w:t>
      </w:r>
    </w:p>
    <w:p>
      <w:pPr>
        <w:pStyle w:val="ListBullet"/>
        <w:spacing w:after="60"/>
      </w:pPr>
      <w:r>
        <w:t>For actions that can be reversed, run and verify a compensation action. For actions that cannot be reversed, require delay or stronger approval instead of falsely promising rollback.</w:t>
      </w:r>
    </w:p>
    <w:p>
      <w:r>
        <w:t>The recovery feature needs careful product language. A generic product cannot undo every action in every system. Some actions can be reversed, some can only be compensated, and some are irreversible. A credible product should classify this before execution and make the required approval stricter as reversibility falls.</w:t>
      </w:r>
    </w:p>
    <w:p>
      <w:pPr>
        <w:pStyle w:val="Heading1"/>
      </w:pPr>
      <w:r>
        <w:t>Choose one entry market before building</w:t>
      </w:r>
    </w:p>
    <w:p>
      <w:r>
        <w:t>The product can eventually support many systems, but the first version must choose one kind of action and one buyer. The current treasury demo is a useful proof of concept, not proof that finance teams will buy. A ten-customer discovery process should decide the first market.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88"/>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Initial wedge</w:t>
            </w:r>
          </w:p>
        </w:tc>
        <w:tc>
          <w:tcPr>
            <w:tcW w:type="dxa" w:w="3312"/>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Why it may work</w:t>
            </w:r>
          </w:p>
        </w:tc>
        <w:tc>
          <w:tcPr>
            <w:tcW w:type="dxa" w:w="2376"/>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Main difficulty</w:t>
            </w:r>
          </w:p>
        </w:tc>
        <w:tc>
          <w:tcPr>
            <w:tcW w:type="dxa" w:w="2160"/>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First customer profile</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Finance operations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High consequence actions already have approval rules and audit needs</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Longer sales cycle and integration trust requirements</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Fintech, marketplace, or SaaS company automating refunds, payouts, vendor changes, or invoice actions</w:t>
            </w:r>
          </w:p>
        </w:tc>
      </w:tr>
      <w:tr>
        <w:tc>
          <w:tcPr>
            <w:tcW w:type="dxa" w:w="2088"/>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IT and cloud operations</w:t>
            </w:r>
          </w:p>
        </w:tc>
        <w:tc>
          <w:tcPr>
            <w:tcW w:type="dxa" w:w="3312"/>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Engineers can adopt SDK or MCP controls; configuration changes have clear diffs and recovery paths</w:t>
            </w:r>
          </w:p>
        </w:tc>
        <w:tc>
          <w:tcPr>
            <w:tcW w:type="dxa" w:w="2376"/>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Crowded security and DevOps market</w:t>
            </w:r>
          </w:p>
        </w:tc>
        <w:tc>
          <w:tcPr>
            <w:tcW w:type="dxa" w:w="2160"/>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50 to 500 person software company using coding or operations agents</w:t>
            </w:r>
          </w:p>
        </w:tc>
      </w:tr>
      <w:tr>
        <w:tc>
          <w:tcPr>
            <w:tcW w:type="dxa" w:w="20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Customer operations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Refunds, CRM edits, and outbound communications have direct revenue and brand risk</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Connector coverage becomes important quickly</w:t>
            </w:r>
          </w:p>
        </w:tc>
        <w:tc>
          <w:tcPr>
            <w:tcW w:type="dxa" w:w="21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E-commerce or B2B SaaS company using AI support agents</w:t>
            </w:r>
          </w:p>
        </w:tc>
      </w:tr>
    </w:tbl>
    <w:p>
      <w:pPr>
        <w:spacing w:after="20"/>
      </w:pPr>
    </w:p>
    <w:p>
      <w:r>
        <w:t>A practical founder choice is IT and cloud operations if fast developer adoption is the priority. Finance operations may have greater willingness to pay, but access to a real design partner will be harder. The decision should follow customer access, not only theoretical market size.</w:t>
      </w:r>
    </w:p>
    <w:p>
      <w:pPr>
        <w:pStyle w:val="Heading1"/>
      </w:pPr>
      <w:r>
        <w:t>What to build and what to stop building</w:t>
      </w:r>
    </w:p>
    <w:p>
      <w:pPr>
        <w:pStyle w:val="Heading2"/>
      </w:pPr>
      <w:r>
        <w:t>Build only after customer evidence</w:t>
      </w:r>
    </w:p>
    <w:p>
      <w:pPr>
        <w:pStyle w:val="ListBullet"/>
        <w:spacing w:after="60"/>
      </w:pPr>
      <w:r>
        <w:t>One integration path, such as an MCP gateway or API wrapper, for a single system category.</w:t>
      </w:r>
    </w:p>
    <w:p>
      <w:pPr>
        <w:pStyle w:val="ListBullet"/>
        <w:spacing w:after="60"/>
      </w:pPr>
      <w:r>
        <w:t>A narrow action schema with before and after state, risk class, authority, approval rule, and recovery plan.</w:t>
      </w:r>
    </w:p>
    <w:p>
      <w:pPr>
        <w:pStyle w:val="ListBullet"/>
        <w:spacing w:after="60"/>
      </w:pPr>
      <w:r>
        <w:t>An approver experience that answers one question: do you authorize this exact action now?</w:t>
      </w:r>
    </w:p>
    <w:p>
      <w:pPr>
        <w:pStyle w:val="ListBullet"/>
        <w:spacing w:after="60"/>
      </w:pPr>
      <w:r>
        <w:t>A receipt and evidence page that a security lead or operator can understand without reading raw logs.</w:t>
      </w:r>
    </w:p>
    <w:p>
      <w:pPr>
        <w:pStyle w:val="ListBullet"/>
        <w:spacing w:after="60"/>
      </w:pPr>
      <w:r>
        <w:t>A tested kill switch and action-specific compensation path for the chosen integration.</w:t>
      </w:r>
    </w:p>
    <w:p>
      <w:pPr>
        <w:pStyle w:val="Heading2"/>
      </w:pPr>
      <w:r>
        <w:t>Do not build next</w:t>
      </w:r>
    </w:p>
    <w:p>
      <w:pPr>
        <w:pStyle w:val="ListBullet"/>
        <w:spacing w:after="60"/>
      </w:pPr>
      <w:r>
        <w:t>A proprietary foundation model or general RAG system. These do not solve the buyer’s immediate control problem.</w:t>
      </w:r>
    </w:p>
    <w:p>
      <w:pPr>
        <w:pStyle w:val="ListBullet"/>
        <w:spacing w:after="60"/>
      </w:pPr>
      <w:r>
        <w:t>A large collection of dashboards before a real team relies on one governed action flow.</w:t>
      </w:r>
    </w:p>
    <w:p>
      <w:pPr>
        <w:pStyle w:val="ListBullet"/>
        <w:spacing w:after="60"/>
      </w:pPr>
      <w:r>
        <w:t>Dozens of connectors before one integration creates measurable value.</w:t>
      </w:r>
    </w:p>
    <w:p>
      <w:pPr>
        <w:pStyle w:val="ListBullet"/>
        <w:spacing w:after="60"/>
      </w:pPr>
      <w:r>
        <w:t>A claim that AgentOS has no competitors or is ready for enterprise production before external verification.</w:t>
      </w:r>
    </w:p>
    <w:p>
      <w:pPr>
        <w:pStyle w:val="Heading1"/>
      </w:pPr>
      <w:r>
        <w:t>Thirty day validation plan</w:t>
      </w:r>
    </w:p>
    <w:tbl>
      <w:tblPr>
        <w:tblW w:type="auto" w:w="0"/>
        <w:jc w:val="center"/>
        <w:tblLayout w:type="fixed"/>
        <w:tblLook w:firstColumn="1" w:firstRow="1" w:lastColumn="0" w:lastRow="0" w:noHBand="0" w:noVBand="1" w:val="04A0"/>
      </w:tblPr>
      <w:tblGrid>
        <w:gridCol w:w="3360"/>
        <w:gridCol w:w="3360"/>
        <w:gridCol w:w="3360"/>
      </w:tblGrid>
      <w:tr>
        <w:tc>
          <w:tcPr>
            <w:tcW w:type="dxa" w:w="1080"/>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Week</w:t>
            </w:r>
          </w:p>
        </w:tc>
        <w:tc>
          <w:tcPr>
            <w:tcW w:type="dxa" w:w="3672"/>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Goal</w:t>
            </w:r>
          </w:p>
        </w:tc>
        <w:tc>
          <w:tcPr>
            <w:tcW w:type="dxa" w:w="5184"/>
            <w:shd w:fill="17253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color w:val="FFFFFF"/>
                <w:sz w:val="17"/>
              </w:rPr>
              <w:t>Evidence required before proceeding</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One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Interview ten people who own AI, security, finance operations, or IT operations</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At least three describe a real agent action they currently restrict, manually approve, or avoid.</w:t>
            </w:r>
          </w:p>
        </w:tc>
      </w:tr>
      <w:tr>
        <w:tc>
          <w:tcPr>
            <w:tcW w:type="dxa" w:w="1080"/>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Two</w:t>
            </w:r>
          </w:p>
        </w:tc>
        <w:tc>
          <w:tcPr>
            <w:tcW w:type="dxa" w:w="3672"/>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Map one action end to end using the customer’s system</w:t>
            </w:r>
          </w:p>
        </w:tc>
        <w:tc>
          <w:tcPr>
            <w:tcW w:type="dxa" w:w="518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 named buyer gives a workflow, threshold, policy, and consequence of a bad action.</w:t>
            </w:r>
          </w:p>
        </w:tc>
      </w:tr>
      <w:tr>
        <w:tc>
          <w:tcPr>
            <w:tcW w:type="dxa" w:w="10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Three</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Show a clickable or working proof using that exact action</w:t>
            </w:r>
          </w:p>
        </w:tc>
        <w:tc>
          <w:tcPr>
            <w:tcW w:type="dxa" w:w="51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At least two people ask to test it with their own environment or data.</w:t>
            </w:r>
          </w:p>
        </w:tc>
      </w:tr>
      <w:tr>
        <w:tc>
          <w:tcPr>
            <w:tcW w:type="dxa" w:w="1080"/>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Four</w:t>
            </w:r>
          </w:p>
        </w:tc>
        <w:tc>
          <w:tcPr>
            <w:tcW w:type="dxa" w:w="3672"/>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Ask for a paid or time-boxed design partnership</w:t>
            </w:r>
          </w:p>
        </w:tc>
        <w:tc>
          <w:tcPr>
            <w:tcW w:type="dxa" w:w="5184"/>
            <w:shd w:fill="F3F5F7"/>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
              <w:rPr>
                <w:rFonts w:ascii="Aptos" w:hAnsi="Aptos"/>
                <w:b w:val="0"/>
                <w:color w:val="141E2D"/>
                <w:sz w:val="17"/>
              </w:rPr>
              <w:t>One customer agrees to a pilot with an owner, timeline, and measurable success condition.</w:t>
            </w:r>
          </w:p>
        </w:tc>
      </w:tr>
    </w:tbl>
    <w:p>
      <w:pPr>
        <w:spacing w:after="20"/>
      </w:pPr>
    </w:p>
    <w:p>
      <w:r>
        <w:t>The key interview question is not “would you use AgentOS?” Ask: “Which AI-generated action are you unwilling to automate today, who must approve it, what makes it dangerous, and what happens if it is wrong?” A valid answer contains a real system, a real action, and a real consequence. If interviews only produce praise for the concept, do not build more product yet.</w:t>
      </w:r>
    </w:p>
    <w:p>
      <w:pPr>
        <w:pStyle w:val="Heading1"/>
      </w:pPr>
      <w:r>
        <w:t>Decision for AgentOS</w:t>
      </w:r>
    </w:p>
    <w:p>
      <w:r>
        <w:t>Keep the project. Do not restart from zero in search of a completely competition-free idea. The current technical foundation matches a real, growing problem, and it gives you a credible starting point. The next phase is commercial discovery: choose one high-consequence action, build the smallest control and recovery flow around it, and earn a design partner.</w:t>
      </w:r>
    </w:p>
    <w:p>
      <w:r>
        <w:t>The project becomes valuable when a customer can safely automate something they currently refuse to automate. That is a stronger test than a polished demo, a large feature list, or a claim of uniqueness.</w:t>
      </w:r>
    </w:p>
    <w:p>
      <w:pPr>
        <w:pStyle w:val="Heading1"/>
      </w:pPr>
      <w:r>
        <w:t>Sources</w:t>
      </w:r>
    </w:p>
    <w:p>
      <w:pPr>
        <w:spacing w:after="80"/>
        <w:ind w:left="202" w:hanging="202"/>
      </w:pPr>
      <w:r>
        <w:rPr>
          <w:sz w:val="16"/>
        </w:rPr>
        <w:t>1. Gartner. “Gartner Identifies Six Steps to Manage AI Agent Sprawl.” 28 April 2026. https://www.gartner.com/en/newsroom/press-releases/2026-04-28-gartner-identifies-six-steps-to-manage-artificial-intelligence-agent-sprawl</w:t>
      </w:r>
    </w:p>
    <w:p>
      <w:pPr>
        <w:spacing w:after="80"/>
        <w:ind w:left="202" w:hanging="202"/>
      </w:pPr>
      <w:r>
        <w:rPr>
          <w:sz w:val="16"/>
        </w:rPr>
        <w:t>2. Cloud Security Alliance. “Enterprise AI Security Starts with AI Agents.” 15 April 2026. https://cloudsecurityalliance.org/artifacts/enterprise-ai-security-starts-with-ai-agents</w:t>
      </w:r>
    </w:p>
    <w:p>
      <w:pPr>
        <w:spacing w:after="80"/>
        <w:ind w:left="202" w:hanging="202"/>
      </w:pPr>
      <w:r>
        <w:rPr>
          <w:sz w:val="16"/>
        </w:rPr>
        <w:t>3. NIST NCCoE. “Accelerating the Adoption of Software and AI Agent Identity and Authorization.” February 2026. https://www.nccoe.nist.gov/publications/other/accelerating-adoption-software-and-ai-agent-identity-and-authorization-concept</w:t>
      </w:r>
    </w:p>
    <w:p>
      <w:pPr>
        <w:spacing w:after="80"/>
        <w:ind w:left="202" w:hanging="202"/>
      </w:pPr>
      <w:r>
        <w:rPr>
          <w:sz w:val="16"/>
        </w:rPr>
        <w:t>4. World Economic Forum. “AI Agents in Action A Playbook for Trusted Adoption Authorization and Scaling.” 26 May 2026. https://www.weforum.org/publications/ai-agents-in-action-a-playbook-for-trusted-adoption-authorization-and-scaling/</w:t>
      </w:r>
    </w:p>
    <w:p>
      <w:pPr>
        <w:spacing w:after="80"/>
        <w:ind w:left="202" w:hanging="202"/>
      </w:pPr>
      <w:r>
        <w:rPr>
          <w:sz w:val="16"/>
        </w:rPr>
        <w:t>5. Australian Cyber Security Centre and international partners. “Careful Adoption of Agentic AI Services.” 1 May 2026. https://www.cyber.gov.au/business-government/secure-design/artificial-intelligence/careful-adoption-of-agentic-ai-services</w:t>
      </w:r>
    </w:p>
    <w:p>
      <w:pPr>
        <w:spacing w:after="80"/>
        <w:ind w:left="202" w:hanging="202"/>
      </w:pPr>
      <w:r>
        <w:rPr>
          <w:sz w:val="16"/>
        </w:rPr>
        <w:t>6. Representative vendor sources: Microsoft Entra Agent ID https://learn.microsoft.com/en-us/entra/agent-id/; Zenity https://zenity.io/; Kynara https://kynaraai.com/; Helixar https://helixar.ai/platform/. Accessed September 2026.</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AgentOS Product Direction Research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41E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