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Acceptance Testing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UAT Execution &amp; Report Submission</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tl w:val="0"/>
        </w:rPr>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300"/>
        <w:tblGridChange w:id="0">
          <w:tblGrid>
            <w:gridCol w:w="1700"/>
            <w:gridCol w:w="4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80.0" w:type="dxa"/>
              <w:bottom w:w="20.0" w:type="dxa"/>
              <w:right w:w="80.0" w:type="dxa"/>
            </w:tcMar>
          </w:tcPr>
          <w:p w:rsidR="00000000" w:rsidDel="00000000" w:rsidP="00000000" w:rsidRDefault="00000000" w:rsidRPr="00000000" w14:paraId="00000004">
            <w:pPr>
              <w:rPr/>
            </w:pPr>
            <w:r w:rsidDel="00000000" w:rsidR="00000000" w:rsidRPr="00000000">
              <w:rPr>
                <w:sz w:val="19"/>
                <w:szCs w:val="19"/>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80.0" w:type="dxa"/>
              <w:bottom w:w="20.0" w:type="dxa"/>
              <w:right w:w="80.0" w:type="dxa"/>
            </w:tcMar>
          </w:tcPr>
          <w:p w:rsidR="00000000" w:rsidDel="00000000" w:rsidP="00000000" w:rsidRDefault="00000000" w:rsidRPr="00000000" w14:paraId="00000005">
            <w:pPr>
              <w:rPr/>
            </w:pPr>
            <w:r w:rsidDel="00000000" w:rsidR="00000000" w:rsidRPr="00000000">
              <w:rPr>
                <w:sz w:val="19"/>
                <w:szCs w:val="19"/>
                <w:rtl w:val="0"/>
              </w:rPr>
              <w:t xml:space="preserve">3 October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80.0" w:type="dxa"/>
              <w:bottom w:w="20.0" w:type="dxa"/>
              <w:right w:w="80.0" w:type="dxa"/>
            </w:tcMar>
          </w:tcPr>
          <w:p w:rsidR="00000000" w:rsidDel="00000000" w:rsidP="00000000" w:rsidRDefault="00000000" w:rsidRPr="00000000" w14:paraId="00000006">
            <w:pPr>
              <w:rPr/>
            </w:pPr>
            <w:r w:rsidDel="00000000" w:rsidR="00000000" w:rsidRPr="00000000">
              <w:rPr>
                <w:sz w:val="19"/>
                <w:szCs w:val="19"/>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80.0" w:type="dxa"/>
              <w:bottom w:w="20.0" w:type="dxa"/>
              <w:right w:w="80.0" w:type="dxa"/>
            </w:tcMar>
          </w:tcPr>
          <w:p w:rsidR="00000000" w:rsidDel="00000000" w:rsidP="00000000" w:rsidRDefault="00000000" w:rsidRPr="00000000" w14:paraId="00000007">
            <w:pPr>
              <w:rPr/>
            </w:pPr>
            <w:r w:rsidDel="00000000" w:rsidR="00000000" w:rsidRPr="00000000">
              <w:rPr>
                <w:rFonts w:ascii="Calibri" w:cs="Calibri" w:eastAsia="Calibri" w:hAnsi="Calibri"/>
                <w:sz w:val="22"/>
                <w:szCs w:val="22"/>
                <w:rtl w:val="0"/>
              </w:rPr>
              <w:t xml:space="preserve">SWTID-2026-5226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80.0" w:type="dxa"/>
              <w:bottom w:w="20.0" w:type="dxa"/>
              <w:right w:w="80.0" w:type="dxa"/>
            </w:tcMar>
          </w:tcPr>
          <w:p w:rsidR="00000000" w:rsidDel="00000000" w:rsidP="00000000" w:rsidRDefault="00000000" w:rsidRPr="00000000" w14:paraId="00000008">
            <w:pPr>
              <w:rPr/>
            </w:pPr>
            <w:r w:rsidDel="00000000" w:rsidR="00000000" w:rsidRPr="00000000">
              <w:rPr>
                <w:sz w:val="19"/>
                <w:szCs w:val="19"/>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80.0" w:type="dxa"/>
              <w:bottom w:w="20.0" w:type="dxa"/>
              <w:right w:w="80.0" w:type="dxa"/>
            </w:tcMar>
          </w:tcPr>
          <w:p w:rsidR="00000000" w:rsidDel="00000000" w:rsidP="00000000" w:rsidRDefault="00000000" w:rsidRPr="00000000" w14:paraId="00000009">
            <w:pPr>
              <w:rPr/>
            </w:pPr>
            <w:r w:rsidDel="00000000" w:rsidR="00000000" w:rsidRPr="00000000">
              <w:rPr>
                <w:sz w:val="19"/>
                <w:szCs w:val="19"/>
                <w:rtl w:val="0"/>
              </w:rPr>
              <w:t xml:space="preserve">Import Data using Transform Maps (Spreadsheet)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80.0" w:type="dxa"/>
              <w:bottom w:w="20.0" w:type="dxa"/>
              <w:right w:w="80.0" w:type="dxa"/>
            </w:tcMar>
          </w:tcPr>
          <w:p w:rsidR="00000000" w:rsidDel="00000000" w:rsidP="00000000" w:rsidRDefault="00000000" w:rsidRPr="00000000" w14:paraId="0000000A">
            <w:pPr>
              <w:rPr/>
            </w:pPr>
            <w:r w:rsidDel="00000000" w:rsidR="00000000" w:rsidRPr="00000000">
              <w:rPr>
                <w:sz w:val="19"/>
                <w:szCs w:val="19"/>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80.0" w:type="dxa"/>
              <w:bottom w:w="20.0" w:type="dxa"/>
              <w:right w:w="80.0" w:type="dxa"/>
            </w:tcMar>
          </w:tcPr>
          <w:p w:rsidR="00000000" w:rsidDel="00000000" w:rsidP="00000000" w:rsidRDefault="00000000" w:rsidRPr="00000000" w14:paraId="0000000B">
            <w:pPr>
              <w:rPr/>
            </w:pPr>
            <w:r w:rsidDel="00000000" w:rsidR="00000000" w:rsidRPr="00000000">
              <w:rPr>
                <w:rtl w:val="0"/>
              </w:rPr>
            </w:r>
          </w:p>
        </w:tc>
      </w:tr>
    </w:tbl>
    <w:p w:rsidR="00000000" w:rsidDel="00000000" w:rsidP="00000000" w:rsidRDefault="00000000" w:rsidRPr="00000000" w14:paraId="0000000C">
      <w:pPr>
        <w:keepNext w:val="1"/>
        <w:spacing w:after="120" w:before="280" w:lineRule="auto"/>
        <w:rPr/>
      </w:pPr>
      <w:r w:rsidDel="00000000" w:rsidR="00000000" w:rsidRPr="00000000">
        <w:rPr>
          <w:b w:val="1"/>
          <w:bCs w:val="1"/>
          <w:color w:val="9b3b3b"/>
          <w:sz w:val="26"/>
          <w:szCs w:val="26"/>
          <w:rtl w:val="0"/>
        </w:rPr>
        <w:t xml:space="preserve">1.  Purpose of Document</w:t>
      </w:r>
      <w:r w:rsidDel="00000000" w:rsidR="00000000" w:rsidRPr="00000000">
        <w:rPr>
          <w:rtl w:val="0"/>
        </w:rPr>
      </w:r>
    </w:p>
    <w:p w:rsidR="00000000" w:rsidDel="00000000" w:rsidP="00000000" w:rsidRDefault="00000000" w:rsidRPr="00000000" w14:paraId="0000000D">
      <w:pPr>
        <w:spacing w:after="140" w:line="300" w:lineRule="auto"/>
        <w:ind w:left="200" w:firstLine="0"/>
        <w:jc w:val="both"/>
        <w:rPr/>
      </w:pPr>
      <w:r w:rsidDel="00000000" w:rsidR="00000000" w:rsidRPr="00000000">
        <w:rPr>
          <w:rtl w:val="0"/>
        </w:rPr>
        <w:t xml:space="preserve">The purpose of this document is to briefly explain the test coverage and open issues of the Import Data using Transform Maps (Spreadsheet) project at the time of the release to User Acceptance Testing (UAT). The project is a ServiceNow implementation that imports employee data from a spreadsheet into a custom Employee Test table through an Import Set table and a Transform Map, uses Coalesce to prevent duplicate records, and presents the data through reports and a dashboard.</w:t>
      </w:r>
    </w:p>
    <w:p w:rsidR="00000000" w:rsidDel="00000000" w:rsidP="00000000" w:rsidRDefault="00000000" w:rsidRPr="00000000" w14:paraId="0000000E">
      <w:pPr>
        <w:keepNext w:val="1"/>
        <w:spacing w:after="120" w:before="280" w:lineRule="auto"/>
        <w:rPr/>
      </w:pPr>
      <w:r w:rsidDel="00000000" w:rsidR="00000000" w:rsidRPr="00000000">
        <w:rPr>
          <w:b w:val="1"/>
          <w:bCs w:val="1"/>
          <w:color w:val="9b3b3b"/>
          <w:sz w:val="26"/>
          <w:szCs w:val="26"/>
          <w:rtl w:val="0"/>
        </w:rPr>
        <w:t xml:space="preserve">2.  Defect Analysis</w:t>
      </w:r>
      <w:r w:rsidDel="00000000" w:rsidR="00000000" w:rsidRPr="00000000">
        <w:rPr>
          <w:rtl w:val="0"/>
        </w:rPr>
      </w:r>
    </w:p>
    <w:p w:rsidR="00000000" w:rsidDel="00000000" w:rsidP="00000000" w:rsidRDefault="00000000" w:rsidRPr="00000000" w14:paraId="0000000F">
      <w:pPr>
        <w:spacing w:after="140" w:line="300" w:lineRule="auto"/>
        <w:ind w:left="200" w:firstLine="0"/>
        <w:jc w:val="both"/>
        <w:rPr/>
      </w:pPr>
      <w:r w:rsidDel="00000000" w:rsidR="00000000" w:rsidRPr="00000000">
        <w:rPr>
          <w:rtl w:val="0"/>
        </w:rPr>
        <w:t xml:space="preserve">This report shows the number of resolved or closed bugs at each severity level, and how they were resolved. No defects were logged during UAT of the executed test cases, so all counts are zero.</w:t>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480"/>
        <w:gridCol w:w="1480"/>
        <w:gridCol w:w="1480"/>
        <w:gridCol w:w="1480"/>
        <w:gridCol w:w="1480"/>
        <w:tblGridChange w:id="0">
          <w:tblGrid>
            <w:gridCol w:w="2100"/>
            <w:gridCol w:w="1480"/>
            <w:gridCol w:w="1480"/>
            <w:gridCol w:w="1480"/>
            <w:gridCol w:w="1480"/>
            <w:gridCol w:w="1480"/>
          </w:tblGrid>
        </w:tblGridChange>
      </w:tblGrid>
      <w:tr>
        <w:trPr>
          <w:cantSplit w:val="1"/>
          <w:tblHeader w:val="1"/>
        </w:trPr>
        <w:tc>
          <w:tcPr>
            <w:tcBorders>
              <w:top w:color="d9d9d9" w:space="0" w:sz="4" w:val="single"/>
              <w:left w:color="000000" w:space="0" w:sz="0" w:val="nil"/>
              <w:bottom w:color="d9d9d9" w:space="0" w:sz="4" w:val="single"/>
              <w:right w:color="000000" w:space="0" w:sz="0" w:val="nil"/>
            </w:tcBorders>
            <w:shd w:fill="f2f2f2" w:val="clear"/>
            <w:tcMar>
              <w:top w:w="90.0" w:type="dxa"/>
              <w:left w:w="110.0" w:type="dxa"/>
              <w:bottom w:w="90.0" w:type="dxa"/>
              <w:right w:w="110.0" w:type="dxa"/>
            </w:tcMar>
            <w:vAlign w:val="center"/>
          </w:tcPr>
          <w:p w:rsidR="00000000" w:rsidDel="00000000" w:rsidP="00000000" w:rsidRDefault="00000000" w:rsidRPr="00000000" w14:paraId="00000010">
            <w:pPr>
              <w:rPr/>
            </w:pPr>
            <w:r w:rsidDel="00000000" w:rsidR="00000000" w:rsidRPr="00000000">
              <w:rPr>
                <w:b w:val="1"/>
                <w:bCs w:val="1"/>
                <w:sz w:val="17"/>
                <w:szCs w:val="17"/>
                <w:rtl w:val="0"/>
              </w:rPr>
              <w:t xml:space="preserve">Resolution</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f2f2f2" w:val="clear"/>
            <w:tcMar>
              <w:top w:w="90.0" w:type="dxa"/>
              <w:left w:w="110.0" w:type="dxa"/>
              <w:bottom w:w="90.0" w:type="dxa"/>
              <w:right w:w="110.0" w:type="dxa"/>
            </w:tcMar>
            <w:vAlign w:val="center"/>
          </w:tcPr>
          <w:p w:rsidR="00000000" w:rsidDel="00000000" w:rsidP="00000000" w:rsidRDefault="00000000" w:rsidRPr="00000000" w14:paraId="00000011">
            <w:pPr>
              <w:jc w:val="center"/>
              <w:rPr/>
            </w:pPr>
            <w:r w:rsidDel="00000000" w:rsidR="00000000" w:rsidRPr="00000000">
              <w:rPr>
                <w:b w:val="1"/>
                <w:bCs w:val="1"/>
                <w:sz w:val="17"/>
                <w:szCs w:val="17"/>
                <w:rtl w:val="0"/>
              </w:rPr>
              <w:t xml:space="preserve">Severity 1</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f2f2f2" w:val="clear"/>
            <w:tcMar>
              <w:top w:w="90.0" w:type="dxa"/>
              <w:left w:w="110.0" w:type="dxa"/>
              <w:bottom w:w="90.0" w:type="dxa"/>
              <w:right w:w="110.0" w:type="dxa"/>
            </w:tcMar>
            <w:vAlign w:val="center"/>
          </w:tcPr>
          <w:p w:rsidR="00000000" w:rsidDel="00000000" w:rsidP="00000000" w:rsidRDefault="00000000" w:rsidRPr="00000000" w14:paraId="00000012">
            <w:pPr>
              <w:jc w:val="center"/>
              <w:rPr/>
            </w:pPr>
            <w:r w:rsidDel="00000000" w:rsidR="00000000" w:rsidRPr="00000000">
              <w:rPr>
                <w:b w:val="1"/>
                <w:bCs w:val="1"/>
                <w:sz w:val="17"/>
                <w:szCs w:val="17"/>
                <w:rtl w:val="0"/>
              </w:rPr>
              <w:t xml:space="preserve">Severity 2</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f2f2f2" w:val="clear"/>
            <w:tcMar>
              <w:top w:w="90.0" w:type="dxa"/>
              <w:left w:w="110.0" w:type="dxa"/>
              <w:bottom w:w="90.0" w:type="dxa"/>
              <w:right w:w="110.0" w:type="dxa"/>
            </w:tcMar>
            <w:vAlign w:val="center"/>
          </w:tcPr>
          <w:p w:rsidR="00000000" w:rsidDel="00000000" w:rsidP="00000000" w:rsidRDefault="00000000" w:rsidRPr="00000000" w14:paraId="00000013">
            <w:pPr>
              <w:jc w:val="center"/>
              <w:rPr/>
            </w:pPr>
            <w:r w:rsidDel="00000000" w:rsidR="00000000" w:rsidRPr="00000000">
              <w:rPr>
                <w:b w:val="1"/>
                <w:bCs w:val="1"/>
                <w:sz w:val="17"/>
                <w:szCs w:val="17"/>
                <w:rtl w:val="0"/>
              </w:rPr>
              <w:t xml:space="preserve">Severity 3</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f2f2f2" w:val="clear"/>
            <w:tcMar>
              <w:top w:w="90.0" w:type="dxa"/>
              <w:left w:w="110.0" w:type="dxa"/>
              <w:bottom w:w="90.0" w:type="dxa"/>
              <w:right w:w="110.0" w:type="dxa"/>
            </w:tcMar>
            <w:vAlign w:val="center"/>
          </w:tcPr>
          <w:p w:rsidR="00000000" w:rsidDel="00000000" w:rsidP="00000000" w:rsidRDefault="00000000" w:rsidRPr="00000000" w14:paraId="00000014">
            <w:pPr>
              <w:jc w:val="center"/>
              <w:rPr/>
            </w:pPr>
            <w:r w:rsidDel="00000000" w:rsidR="00000000" w:rsidRPr="00000000">
              <w:rPr>
                <w:b w:val="1"/>
                <w:bCs w:val="1"/>
                <w:sz w:val="17"/>
                <w:szCs w:val="17"/>
                <w:rtl w:val="0"/>
              </w:rPr>
              <w:t xml:space="preserve">Severity 4</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f2f2f2" w:val="clear"/>
            <w:tcMar>
              <w:top w:w="90.0" w:type="dxa"/>
              <w:left w:w="110.0" w:type="dxa"/>
              <w:bottom w:w="90.0" w:type="dxa"/>
              <w:right w:w="110.0" w:type="dxa"/>
            </w:tcMar>
            <w:vAlign w:val="center"/>
          </w:tcPr>
          <w:p w:rsidR="00000000" w:rsidDel="00000000" w:rsidP="00000000" w:rsidRDefault="00000000" w:rsidRPr="00000000" w14:paraId="00000015">
            <w:pPr>
              <w:jc w:val="center"/>
              <w:rPr/>
            </w:pPr>
            <w:r w:rsidDel="00000000" w:rsidR="00000000" w:rsidRPr="00000000">
              <w:rPr>
                <w:b w:val="1"/>
                <w:bCs w:val="1"/>
                <w:sz w:val="17"/>
                <w:szCs w:val="17"/>
                <w:rtl w:val="0"/>
              </w:rPr>
              <w:t xml:space="preserve">Subtotal</w:t>
            </w:r>
            <w:r w:rsidDel="00000000" w:rsidR="00000000" w:rsidRPr="00000000">
              <w:rPr>
                <w:rtl w:val="0"/>
              </w:rPr>
            </w:r>
          </w:p>
        </w:tc>
      </w:tr>
      <w:tr>
        <w:trPr>
          <w:cantSplit w:val="1"/>
          <w:tblHeader w:val="0"/>
        </w:trPr>
        <w:tc>
          <w:tcPr>
            <w:tcBorders>
              <w:top w:color="000000" w:space="0" w:sz="0" w:val="nil"/>
              <w:left w:color="000000" w:space="0" w:sz="0" w:val="nil"/>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16">
            <w:pPr>
              <w:rPr/>
            </w:pPr>
            <w:r w:rsidDel="00000000" w:rsidR="00000000" w:rsidRPr="00000000">
              <w:rPr>
                <w:sz w:val="19"/>
                <w:szCs w:val="19"/>
                <w:rtl w:val="0"/>
              </w:rPr>
              <w:t xml:space="preserve">By Design</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17">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18">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19">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1A">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1B">
            <w:pPr>
              <w:jc w:val="center"/>
              <w:rPr/>
            </w:pPr>
            <w:r w:rsidDel="00000000" w:rsidR="00000000" w:rsidRPr="00000000">
              <w:rPr>
                <w:sz w:val="19"/>
                <w:szCs w:val="19"/>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1C">
            <w:pPr>
              <w:rPr/>
            </w:pPr>
            <w:r w:rsidDel="00000000" w:rsidR="00000000" w:rsidRPr="00000000">
              <w:rPr>
                <w:sz w:val="19"/>
                <w:szCs w:val="19"/>
                <w:rtl w:val="0"/>
              </w:rPr>
              <w:t xml:space="preserve">Duplicate</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1D">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1E">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1F">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20">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21">
            <w:pPr>
              <w:jc w:val="center"/>
              <w:rPr/>
            </w:pPr>
            <w:r w:rsidDel="00000000" w:rsidR="00000000" w:rsidRPr="00000000">
              <w:rPr>
                <w:sz w:val="19"/>
                <w:szCs w:val="19"/>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22">
            <w:pPr>
              <w:rPr/>
            </w:pPr>
            <w:r w:rsidDel="00000000" w:rsidR="00000000" w:rsidRPr="00000000">
              <w:rPr>
                <w:sz w:val="19"/>
                <w:szCs w:val="19"/>
                <w:rtl w:val="0"/>
              </w:rPr>
              <w:t xml:space="preserve">External</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23">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24">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25">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26">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27">
            <w:pPr>
              <w:jc w:val="center"/>
              <w:rPr/>
            </w:pPr>
            <w:r w:rsidDel="00000000" w:rsidR="00000000" w:rsidRPr="00000000">
              <w:rPr>
                <w:sz w:val="19"/>
                <w:szCs w:val="19"/>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28">
            <w:pPr>
              <w:rPr/>
            </w:pPr>
            <w:r w:rsidDel="00000000" w:rsidR="00000000" w:rsidRPr="00000000">
              <w:rPr>
                <w:sz w:val="19"/>
                <w:szCs w:val="19"/>
                <w:rtl w:val="0"/>
              </w:rPr>
              <w:t xml:space="preserve">Fixed</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29">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2A">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2B">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2C">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2D">
            <w:pPr>
              <w:jc w:val="center"/>
              <w:rPr/>
            </w:pPr>
            <w:r w:rsidDel="00000000" w:rsidR="00000000" w:rsidRPr="00000000">
              <w:rPr>
                <w:sz w:val="19"/>
                <w:szCs w:val="19"/>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2E">
            <w:pPr>
              <w:rPr/>
            </w:pPr>
            <w:r w:rsidDel="00000000" w:rsidR="00000000" w:rsidRPr="00000000">
              <w:rPr>
                <w:sz w:val="19"/>
                <w:szCs w:val="19"/>
                <w:rtl w:val="0"/>
              </w:rPr>
              <w:t xml:space="preserve">Not Reproduced</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2F">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30">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31">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32">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33">
            <w:pPr>
              <w:jc w:val="center"/>
              <w:rPr/>
            </w:pPr>
            <w:r w:rsidDel="00000000" w:rsidR="00000000" w:rsidRPr="00000000">
              <w:rPr>
                <w:sz w:val="19"/>
                <w:szCs w:val="19"/>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34">
            <w:pPr>
              <w:rPr/>
            </w:pPr>
            <w:r w:rsidDel="00000000" w:rsidR="00000000" w:rsidRPr="00000000">
              <w:rPr>
                <w:sz w:val="19"/>
                <w:szCs w:val="19"/>
                <w:rtl w:val="0"/>
              </w:rPr>
              <w:t xml:space="preserve">Skipped</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35">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36">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37">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38">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39">
            <w:pPr>
              <w:jc w:val="center"/>
              <w:rPr/>
            </w:pPr>
            <w:r w:rsidDel="00000000" w:rsidR="00000000" w:rsidRPr="00000000">
              <w:rPr>
                <w:sz w:val="19"/>
                <w:szCs w:val="19"/>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3A">
            <w:pPr>
              <w:rPr/>
            </w:pPr>
            <w:r w:rsidDel="00000000" w:rsidR="00000000" w:rsidRPr="00000000">
              <w:rPr>
                <w:sz w:val="19"/>
                <w:szCs w:val="19"/>
                <w:rtl w:val="0"/>
              </w:rPr>
              <w:t xml:space="preserve">Won't Fix</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3B">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3C">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3D">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3E">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3F">
            <w:pPr>
              <w:jc w:val="center"/>
              <w:rPr/>
            </w:pPr>
            <w:r w:rsidDel="00000000" w:rsidR="00000000" w:rsidRPr="00000000">
              <w:rPr>
                <w:sz w:val="19"/>
                <w:szCs w:val="19"/>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40">
            <w:pPr>
              <w:rPr/>
            </w:pPr>
            <w:r w:rsidDel="00000000" w:rsidR="00000000" w:rsidRPr="00000000">
              <w:rPr>
                <w:sz w:val="19"/>
                <w:szCs w:val="19"/>
                <w:rtl w:val="0"/>
              </w:rPr>
              <w:t xml:space="preserve">Totals</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41">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42">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43">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44">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45">
            <w:pPr>
              <w:jc w:val="center"/>
              <w:rPr/>
            </w:pPr>
            <w:r w:rsidDel="00000000" w:rsidR="00000000" w:rsidRPr="00000000">
              <w:rPr>
                <w:sz w:val="19"/>
                <w:szCs w:val="19"/>
                <w:rtl w:val="0"/>
              </w:rPr>
              <w:t xml:space="preserve">0</w:t>
            </w:r>
            <w:r w:rsidDel="00000000" w:rsidR="00000000" w:rsidRPr="00000000">
              <w:rPr>
                <w:rtl w:val="0"/>
              </w:rPr>
            </w:r>
          </w:p>
        </w:tc>
      </w:tr>
    </w:tbl>
    <w:p w:rsidR="00000000" w:rsidDel="00000000" w:rsidP="00000000" w:rsidRDefault="00000000" w:rsidRPr="00000000" w14:paraId="00000046">
      <w:pPr>
        <w:keepNext w:val="1"/>
        <w:spacing w:after="120" w:before="280" w:lineRule="auto"/>
        <w:rPr/>
      </w:pPr>
      <w:r w:rsidDel="00000000" w:rsidR="00000000" w:rsidRPr="00000000">
        <w:rPr>
          <w:b w:val="1"/>
          <w:bCs w:val="1"/>
          <w:color w:val="9b3b3b"/>
          <w:sz w:val="26"/>
          <w:szCs w:val="26"/>
          <w:rtl w:val="0"/>
        </w:rPr>
        <w:t xml:space="preserve">3.  Test Case Analysis</w:t>
      </w:r>
      <w:r w:rsidDel="00000000" w:rsidR="00000000" w:rsidRPr="00000000">
        <w:rPr>
          <w:rtl w:val="0"/>
        </w:rPr>
      </w:r>
    </w:p>
    <w:p w:rsidR="00000000" w:rsidDel="00000000" w:rsidP="00000000" w:rsidRDefault="00000000" w:rsidRPr="00000000" w14:paraId="00000047">
      <w:pPr>
        <w:spacing w:after="140" w:line="300" w:lineRule="auto"/>
        <w:ind w:left="200" w:firstLine="0"/>
        <w:jc w:val="both"/>
        <w:rPr/>
      </w:pPr>
      <w:r w:rsidDel="00000000" w:rsidR="00000000" w:rsidRPr="00000000">
        <w:rPr>
          <w:rtl w:val="0"/>
        </w:rPr>
        <w:t xml:space="preserve">This report shows the number of test cases that have passed, failed, and untested. Reports 2 and 3 and the dashboard (Milestone 4) were not covered in the submitted project evidence, so those 2 cases are marked Not Tested.</w:t>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1600"/>
        <w:gridCol w:w="1300"/>
        <w:gridCol w:w="800"/>
        <w:gridCol w:w="800"/>
        <w:tblGridChange w:id="0">
          <w:tblGrid>
            <w:gridCol w:w="5000"/>
            <w:gridCol w:w="1600"/>
            <w:gridCol w:w="1300"/>
            <w:gridCol w:w="800"/>
            <w:gridCol w:w="800"/>
          </w:tblGrid>
        </w:tblGridChange>
      </w:tblGrid>
      <w:tr>
        <w:trPr>
          <w:cantSplit w:val="1"/>
          <w:tblHeader w:val="1"/>
        </w:trPr>
        <w:tc>
          <w:tcPr>
            <w:tcBorders>
              <w:top w:color="d9d9d9" w:space="0" w:sz="4" w:val="single"/>
              <w:left w:color="000000" w:space="0" w:sz="0" w:val="nil"/>
              <w:bottom w:color="d9d9d9" w:space="0" w:sz="4" w:val="single"/>
              <w:right w:color="000000" w:space="0" w:sz="0" w:val="nil"/>
            </w:tcBorders>
            <w:shd w:fill="f2f2f2" w:val="clear"/>
            <w:tcMar>
              <w:top w:w="90.0" w:type="dxa"/>
              <w:left w:w="110.0" w:type="dxa"/>
              <w:bottom w:w="90.0" w:type="dxa"/>
              <w:right w:w="110.0" w:type="dxa"/>
            </w:tcMar>
            <w:vAlign w:val="center"/>
          </w:tcPr>
          <w:p w:rsidR="00000000" w:rsidDel="00000000" w:rsidP="00000000" w:rsidRDefault="00000000" w:rsidRPr="00000000" w14:paraId="00000048">
            <w:pPr>
              <w:rPr/>
            </w:pPr>
            <w:r w:rsidDel="00000000" w:rsidR="00000000" w:rsidRPr="00000000">
              <w:rPr>
                <w:b w:val="1"/>
                <w:bCs w:val="1"/>
                <w:sz w:val="17"/>
                <w:szCs w:val="17"/>
                <w:rtl w:val="0"/>
              </w:rPr>
              <w:t xml:space="preserve">Section</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f2f2f2" w:val="clear"/>
            <w:tcMar>
              <w:top w:w="90.0" w:type="dxa"/>
              <w:left w:w="110.0" w:type="dxa"/>
              <w:bottom w:w="90.0" w:type="dxa"/>
              <w:right w:w="110.0" w:type="dxa"/>
            </w:tcMar>
            <w:vAlign w:val="center"/>
          </w:tcPr>
          <w:p w:rsidR="00000000" w:rsidDel="00000000" w:rsidP="00000000" w:rsidRDefault="00000000" w:rsidRPr="00000000" w14:paraId="00000049">
            <w:pPr>
              <w:jc w:val="center"/>
              <w:rPr/>
            </w:pPr>
            <w:r w:rsidDel="00000000" w:rsidR="00000000" w:rsidRPr="00000000">
              <w:rPr>
                <w:b w:val="1"/>
                <w:bCs w:val="1"/>
                <w:sz w:val="17"/>
                <w:szCs w:val="17"/>
                <w:rtl w:val="0"/>
              </w:rPr>
              <w:t xml:space="preserve">Total Cases</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f2f2f2" w:val="clear"/>
            <w:tcMar>
              <w:top w:w="90.0" w:type="dxa"/>
              <w:left w:w="110.0" w:type="dxa"/>
              <w:bottom w:w="90.0" w:type="dxa"/>
              <w:right w:w="110.0" w:type="dxa"/>
            </w:tcMar>
            <w:vAlign w:val="center"/>
          </w:tcPr>
          <w:p w:rsidR="00000000" w:rsidDel="00000000" w:rsidP="00000000" w:rsidRDefault="00000000" w:rsidRPr="00000000" w14:paraId="0000004A">
            <w:pPr>
              <w:jc w:val="center"/>
              <w:rPr/>
            </w:pPr>
            <w:r w:rsidDel="00000000" w:rsidR="00000000" w:rsidRPr="00000000">
              <w:rPr>
                <w:b w:val="1"/>
                <w:bCs w:val="1"/>
                <w:sz w:val="17"/>
                <w:szCs w:val="17"/>
                <w:rtl w:val="0"/>
              </w:rPr>
              <w:t xml:space="preserve">Not Tested</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f2f2f2" w:val="clear"/>
            <w:tcMar>
              <w:top w:w="90.0" w:type="dxa"/>
              <w:left w:w="110.0" w:type="dxa"/>
              <w:bottom w:w="90.0" w:type="dxa"/>
              <w:right w:w="110.0" w:type="dxa"/>
            </w:tcMar>
            <w:vAlign w:val="center"/>
          </w:tcPr>
          <w:p w:rsidR="00000000" w:rsidDel="00000000" w:rsidP="00000000" w:rsidRDefault="00000000" w:rsidRPr="00000000" w14:paraId="0000004B">
            <w:pPr>
              <w:jc w:val="center"/>
              <w:rPr/>
            </w:pPr>
            <w:r w:rsidDel="00000000" w:rsidR="00000000" w:rsidRPr="00000000">
              <w:rPr>
                <w:b w:val="1"/>
                <w:bCs w:val="1"/>
                <w:sz w:val="17"/>
                <w:szCs w:val="17"/>
                <w:rtl w:val="0"/>
              </w:rPr>
              <w:t xml:space="preserve">Fail</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f2f2f2" w:val="clear"/>
            <w:tcMar>
              <w:top w:w="90.0" w:type="dxa"/>
              <w:left w:w="110.0" w:type="dxa"/>
              <w:bottom w:w="90.0" w:type="dxa"/>
              <w:right w:w="110.0" w:type="dxa"/>
            </w:tcMar>
            <w:vAlign w:val="center"/>
          </w:tcPr>
          <w:p w:rsidR="00000000" w:rsidDel="00000000" w:rsidP="00000000" w:rsidRDefault="00000000" w:rsidRPr="00000000" w14:paraId="0000004C">
            <w:pPr>
              <w:jc w:val="center"/>
              <w:rPr/>
            </w:pPr>
            <w:r w:rsidDel="00000000" w:rsidR="00000000" w:rsidRPr="00000000">
              <w:rPr>
                <w:b w:val="1"/>
                <w:bCs w:val="1"/>
                <w:sz w:val="17"/>
                <w:szCs w:val="17"/>
                <w:rtl w:val="0"/>
              </w:rPr>
              <w:t xml:space="preserve">Pass</w:t>
            </w:r>
            <w:r w:rsidDel="00000000" w:rsidR="00000000" w:rsidRPr="00000000">
              <w:rPr>
                <w:rtl w:val="0"/>
              </w:rPr>
            </w:r>
          </w:p>
        </w:tc>
      </w:tr>
      <w:tr>
        <w:trPr>
          <w:cantSplit w:val="1"/>
          <w:tblHeader w:val="0"/>
        </w:trPr>
        <w:tc>
          <w:tcPr>
            <w:tcBorders>
              <w:top w:color="000000" w:space="0" w:sz="0" w:val="nil"/>
              <w:left w:color="000000" w:space="0" w:sz="0" w:val="nil"/>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4D">
            <w:pPr>
              <w:rPr/>
            </w:pPr>
            <w:r w:rsidDel="00000000" w:rsidR="00000000" w:rsidRPr="00000000">
              <w:rPr>
                <w:sz w:val="19"/>
                <w:szCs w:val="19"/>
                <w:rtl w:val="0"/>
              </w:rPr>
              <w:t xml:space="preserve">Creation of Spreadsheet and Tables (Milestone 1)</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4E">
            <w:pPr>
              <w:jc w:val="center"/>
              <w:rPr/>
            </w:pPr>
            <w:r w:rsidDel="00000000" w:rsidR="00000000" w:rsidRPr="00000000">
              <w:rPr>
                <w:sz w:val="19"/>
                <w:szCs w:val="19"/>
                <w:rtl w:val="0"/>
              </w:rPr>
              <w:t xml:space="preserve">2</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4F">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50">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51">
            <w:pPr>
              <w:jc w:val="center"/>
              <w:rPr/>
            </w:pPr>
            <w:r w:rsidDel="00000000" w:rsidR="00000000" w:rsidRPr="00000000">
              <w:rPr>
                <w:sz w:val="19"/>
                <w:szCs w:val="19"/>
                <w:rtl w:val="0"/>
              </w:rPr>
              <w:t xml:space="preserve">2</w:t>
            </w:r>
            <w:r w:rsidDel="00000000" w:rsidR="00000000" w:rsidRPr="00000000">
              <w:rPr>
                <w:rtl w:val="0"/>
              </w:rPr>
            </w:r>
          </w:p>
        </w:tc>
      </w:tr>
      <w:tr>
        <w:trPr>
          <w:cantSplit w:val="1"/>
          <w:tblHeader w:val="0"/>
        </w:trPr>
        <w:tc>
          <w:tcPr>
            <w:tcBorders>
              <w:top w:color="000000" w:space="0" w:sz="0" w:val="nil"/>
              <w:left w:color="000000" w:space="0" w:sz="0" w:val="nil"/>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52">
            <w:pPr>
              <w:rPr/>
            </w:pPr>
            <w:r w:rsidDel="00000000" w:rsidR="00000000" w:rsidRPr="00000000">
              <w:rPr>
                <w:sz w:val="19"/>
                <w:szCs w:val="19"/>
                <w:rtl w:val="0"/>
              </w:rPr>
              <w:t xml:space="preserve">Import Set Table and Transform Map (Milestone 2)</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53">
            <w:pPr>
              <w:jc w:val="center"/>
              <w:rPr/>
            </w:pPr>
            <w:r w:rsidDel="00000000" w:rsidR="00000000" w:rsidRPr="00000000">
              <w:rPr>
                <w:sz w:val="19"/>
                <w:szCs w:val="19"/>
                <w:rtl w:val="0"/>
              </w:rPr>
              <w:t xml:space="preserve">2</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54">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55">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56">
            <w:pPr>
              <w:jc w:val="center"/>
              <w:rPr/>
            </w:pPr>
            <w:r w:rsidDel="00000000" w:rsidR="00000000" w:rsidRPr="00000000">
              <w:rPr>
                <w:sz w:val="19"/>
                <w:szCs w:val="19"/>
                <w:rtl w:val="0"/>
              </w:rPr>
              <w:t xml:space="preserve">2</w:t>
            </w:r>
            <w:r w:rsidDel="00000000" w:rsidR="00000000" w:rsidRPr="00000000">
              <w:rPr>
                <w:rtl w:val="0"/>
              </w:rPr>
            </w:r>
          </w:p>
        </w:tc>
      </w:tr>
      <w:tr>
        <w:trPr>
          <w:cantSplit w:val="1"/>
          <w:tblHeader w:val="0"/>
        </w:trPr>
        <w:tc>
          <w:tcPr>
            <w:tcBorders>
              <w:top w:color="000000" w:space="0" w:sz="0" w:val="nil"/>
              <w:left w:color="000000" w:space="0" w:sz="0" w:val="nil"/>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57">
            <w:pPr>
              <w:rPr/>
            </w:pPr>
            <w:r w:rsidDel="00000000" w:rsidR="00000000" w:rsidRPr="00000000">
              <w:rPr>
                <w:sz w:val="19"/>
                <w:szCs w:val="19"/>
                <w:rtl w:val="0"/>
              </w:rPr>
              <w:t xml:space="preserve">Transform, Validate and Coalesce (Milestone 3)</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58">
            <w:pPr>
              <w:jc w:val="center"/>
              <w:rPr/>
            </w:pPr>
            <w:r w:rsidDel="00000000" w:rsidR="00000000" w:rsidRPr="00000000">
              <w:rPr>
                <w:sz w:val="19"/>
                <w:szCs w:val="19"/>
                <w:rtl w:val="0"/>
              </w:rPr>
              <w:t xml:space="preserve">5</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59">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5A">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5B">
            <w:pPr>
              <w:jc w:val="center"/>
              <w:rPr/>
            </w:pPr>
            <w:r w:rsidDel="00000000" w:rsidR="00000000" w:rsidRPr="00000000">
              <w:rPr>
                <w:sz w:val="19"/>
                <w:szCs w:val="19"/>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5C">
            <w:pPr>
              <w:rPr/>
            </w:pPr>
            <w:r w:rsidDel="00000000" w:rsidR="00000000" w:rsidRPr="00000000">
              <w:rPr>
                <w:sz w:val="19"/>
                <w:szCs w:val="19"/>
                <w:rtl w:val="0"/>
              </w:rPr>
              <w:t xml:space="preserve">Reports and Dashboards (Milestone 4)</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5D">
            <w:pPr>
              <w:jc w:val="center"/>
              <w:rPr/>
            </w:pPr>
            <w:r w:rsidDel="00000000" w:rsidR="00000000" w:rsidRPr="00000000">
              <w:rPr>
                <w:sz w:val="19"/>
                <w:szCs w:val="19"/>
                <w:rtl w:val="0"/>
              </w:rPr>
              <w:t xml:space="preserve">3</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5E">
            <w:pPr>
              <w:jc w:val="center"/>
              <w:rPr/>
            </w:pPr>
            <w:r w:rsidDel="00000000" w:rsidR="00000000" w:rsidRPr="00000000">
              <w:rPr>
                <w:sz w:val="19"/>
                <w:szCs w:val="19"/>
                <w:rtl w:val="0"/>
              </w:rPr>
              <w:t xml:space="preserve">2</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5F">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60">
            <w:pPr>
              <w:jc w:val="center"/>
              <w:rPr/>
            </w:pPr>
            <w:r w:rsidDel="00000000" w:rsidR="00000000" w:rsidRPr="00000000">
              <w:rPr>
                <w:sz w:val="19"/>
                <w:szCs w:val="19"/>
                <w:rtl w:val="0"/>
              </w:rPr>
              <w:t xml:space="preserve">1</w:t>
            </w:r>
            <w:r w:rsidDel="00000000" w:rsidR="00000000" w:rsidRPr="00000000">
              <w:rPr>
                <w:rtl w:val="0"/>
              </w:rPr>
            </w:r>
          </w:p>
        </w:tc>
      </w:tr>
      <w:tr>
        <w:trPr>
          <w:cantSplit w:val="1"/>
          <w:tblHeader w:val="0"/>
        </w:trPr>
        <w:tc>
          <w:tcPr>
            <w:tcBorders>
              <w:top w:color="000000" w:space="0" w:sz="0" w:val="nil"/>
              <w:left w:color="000000" w:space="0" w:sz="0" w:val="nil"/>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61">
            <w:pPr>
              <w:rPr/>
            </w:pPr>
            <w:r w:rsidDel="00000000" w:rsidR="00000000" w:rsidRPr="00000000">
              <w:rPr>
                <w:sz w:val="19"/>
                <w:szCs w:val="19"/>
                <w:rtl w:val="0"/>
              </w:rPr>
              <w:t xml:space="preserve">Totals</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62">
            <w:pPr>
              <w:jc w:val="center"/>
              <w:rPr/>
            </w:pPr>
            <w:r w:rsidDel="00000000" w:rsidR="00000000" w:rsidRPr="00000000">
              <w:rPr>
                <w:sz w:val="19"/>
                <w:szCs w:val="19"/>
                <w:rtl w:val="0"/>
              </w:rPr>
              <w:t xml:space="preserve">12</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63">
            <w:pPr>
              <w:jc w:val="center"/>
              <w:rPr/>
            </w:pPr>
            <w:r w:rsidDel="00000000" w:rsidR="00000000" w:rsidRPr="00000000">
              <w:rPr>
                <w:sz w:val="19"/>
                <w:szCs w:val="19"/>
                <w:rtl w:val="0"/>
              </w:rPr>
              <w:t xml:space="preserve">2</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64">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0" w:val="nil"/>
              <w:left w:color="d9d9d9" w:space="0" w:sz="4" w:val="single"/>
              <w:bottom w:color="d9d9d9" w:space="0" w:sz="4" w:val="single"/>
              <w:right w:color="000000" w:space="0" w:sz="0" w:val="nil"/>
            </w:tcBorders>
            <w:tcMar>
              <w:top w:w="90.0" w:type="dxa"/>
              <w:left w:w="110.0" w:type="dxa"/>
              <w:bottom w:w="90.0" w:type="dxa"/>
              <w:right w:w="110.0" w:type="dxa"/>
            </w:tcMar>
            <w:vAlign w:val="center"/>
          </w:tcPr>
          <w:p w:rsidR="00000000" w:rsidDel="00000000" w:rsidP="00000000" w:rsidRDefault="00000000" w:rsidRPr="00000000" w14:paraId="00000065">
            <w:pPr>
              <w:jc w:val="center"/>
              <w:rPr/>
            </w:pPr>
            <w:r w:rsidDel="00000000" w:rsidR="00000000" w:rsidRPr="00000000">
              <w:rPr>
                <w:sz w:val="19"/>
                <w:szCs w:val="19"/>
                <w:rtl w:val="0"/>
              </w:rPr>
              <w:t xml:space="preserve">10</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sectPr>
      <w:pgSz w:h="16838" w:w="11906" w:orient="portrait"/>
      <w:pgMar w:bottom="1200" w:top="13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JWw92OM7DKAeROcTCKPNXAfg==">CgMxLjA4AHIhMXZ6TEhHVnNaNmJSXzF2SXJaRGtYbDBuaUdtRGZNdHFv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2026-10-01T07:17:00Z</dcterms:created>
  <dc:creator>Un-named</dc:creator>
</cp:coreProperties>
</file>