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5A33" w14:textId="77777777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7B52A1"/>
          <w:sz w:val="36"/>
          <w:szCs w:val="36"/>
        </w:rPr>
        <w:t>Final Project Reflection</w:t>
      </w:r>
    </w:p>
    <w:p w14:paraId="0C1C2D13" w14:textId="77777777" w:rsidR="009D0CBE" w:rsidRDefault="00000000">
      <w:pPr>
        <w:spacing w:after="40"/>
      </w:pPr>
      <w:r>
        <w:rPr>
          <w:rFonts w:ascii="Calibri" w:eastAsia="Calibri" w:hAnsi="Calibri" w:cs="Calibri"/>
          <w:color w:val="555555"/>
        </w:rPr>
        <w:t>Priyanka Bagadiya  |  Hotel Booking Demand Dataset  |  Module 8</w:t>
      </w:r>
    </w:p>
    <w:p w14:paraId="2FF9DD83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1FB3B97E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1. Data Sources and Variables</w:t>
      </w:r>
    </w:p>
    <w:p w14:paraId="4CDFD484" w14:textId="69BE6FE6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Q: How did the choice of data sources and variables affect the effectiveness of project?</w:t>
      </w:r>
    </w:p>
    <w:p w14:paraId="41E89934" w14:textId="77777777" w:rsidR="009D0CBE" w:rsidRDefault="00000000">
      <w:pPr>
        <w:spacing w:after="100"/>
      </w:pPr>
      <w:r>
        <w:rPr>
          <w:rFonts w:ascii="Calibri" w:eastAsia="Calibri" w:hAnsi="Calibri" w:cs="Calibri"/>
          <w:color w:val="1E1E1E"/>
        </w:rPr>
        <w:t>The Hotel Booking Demand dataset was well-suited for this project because of its volume and variety.</w:t>
      </w:r>
    </w:p>
    <w:p w14:paraId="134A4426" w14:textId="77777777" w:rsidR="009D0CBE" w:rsidRDefault="009D0CBE">
      <w:pPr>
        <w:spacing w:after="80"/>
      </w:pPr>
    </w:p>
    <w:p w14:paraId="23251AA2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Scale</w:t>
      </w:r>
      <w:r>
        <w:rPr>
          <w:rFonts w:ascii="Calibri" w:eastAsia="Calibri" w:hAnsi="Calibri" w:cs="Calibri"/>
          <w:color w:val="555555"/>
        </w:rPr>
        <w:t xml:space="preserve"> — 119,390 records gave enough data to identify statistically meaningful patterns rather than noise</w:t>
      </w:r>
    </w:p>
    <w:p w14:paraId="617B6E80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Two hotel types</w:t>
      </w:r>
      <w:r>
        <w:rPr>
          <w:rFonts w:ascii="Calibri" w:eastAsia="Calibri" w:hAnsi="Calibri" w:cs="Calibri"/>
          <w:color w:val="555555"/>
        </w:rPr>
        <w:t xml:space="preserve"> — City Hotel and Resort Hotel showed distinct cancellation behaviors — having both made comparisons meaningful and added depth to the analysis</w:t>
      </w:r>
    </w:p>
    <w:p w14:paraId="574B0070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Variable mix</w:t>
      </w:r>
      <w:r>
        <w:rPr>
          <w:rFonts w:ascii="Calibri" w:eastAsia="Calibri" w:hAnsi="Calibri" w:cs="Calibri"/>
          <w:color w:val="555555"/>
        </w:rPr>
        <w:t xml:space="preserve"> — The dataset included both behavioral variables (lead time, channel, segment) and outcome variables (cancellation status, arrival date) — this made it possible to go beyond describing what happened and start explaining why</w:t>
      </w:r>
    </w:p>
    <w:p w14:paraId="735C9DA7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Key variables used</w:t>
      </w:r>
      <w:r>
        <w:rPr>
          <w:rFonts w:ascii="Calibri" w:eastAsia="Calibri" w:hAnsi="Calibri" w:cs="Calibri"/>
          <w:color w:val="555555"/>
        </w:rPr>
        <w:t xml:space="preserve"> — Lead time, market segment, distribution channel, arrival month, customer type — all chosen because they had a direct line to a business decision</w:t>
      </w:r>
    </w:p>
    <w:p w14:paraId="43190F1F" w14:textId="77777777" w:rsidR="009D0CBE" w:rsidRDefault="009D0C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9D0CBE" w14:paraId="10290AD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876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65F10E" w14:textId="77777777" w:rsidR="009D0CBE" w:rsidRDefault="009D0CBE"/>
        </w:tc>
        <w:tc>
          <w:tcPr>
            <w:tcW w:w="9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D62ED" w14:textId="77777777" w:rsidR="009D0CBE" w:rsidRDefault="00000000">
            <w:r>
              <w:rPr>
                <w:rFonts w:ascii="Calibri" w:eastAsia="Calibri" w:hAnsi="Calibri" w:cs="Calibri"/>
                <w:i/>
                <w:iCs/>
                <w:color w:val="1E1E1E"/>
              </w:rPr>
              <w:t>One limitation: the dataset does not include pricing data, which meant the revenue lost metric had to be estimated rather than calculated precisely. This was acknowledged in the final presentation.</w:t>
            </w:r>
          </w:p>
        </w:tc>
      </w:tr>
    </w:tbl>
    <w:p w14:paraId="1190E346" w14:textId="77777777" w:rsidR="009D0CBE" w:rsidRDefault="009D0CBE">
      <w:pPr>
        <w:spacing w:after="80"/>
      </w:pPr>
    </w:p>
    <w:p w14:paraId="7E6BA4C1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029C8664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2. Design Principles and Visual Choices</w:t>
      </w:r>
    </w:p>
    <w:p w14:paraId="49DC4A9F" w14:textId="49D7C450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Q: What design principles and visual choices contributed most to communicating message clearly?</w:t>
      </w:r>
    </w:p>
    <w:p w14:paraId="41637C9C" w14:textId="74E5140E" w:rsidR="009D0CBE" w:rsidRDefault="00000000" w:rsidP="0068252A">
      <w:pPr>
        <w:spacing w:after="100"/>
      </w:pPr>
      <w:r>
        <w:rPr>
          <w:rFonts w:ascii="Calibri" w:eastAsia="Calibri" w:hAnsi="Calibri" w:cs="Calibri"/>
          <w:color w:val="1E1E1E"/>
        </w:rPr>
        <w:t>Three design decisions had the biggest impact on how clearly the message came across:</w:t>
      </w:r>
    </w:p>
    <w:p w14:paraId="16471F8C" w14:textId="77777777" w:rsidR="0068252A" w:rsidRPr="0068252A" w:rsidRDefault="0068252A" w:rsidP="0068252A">
      <w:pPr>
        <w:spacing w:before="280" w:after="100"/>
      </w:pPr>
      <w:r w:rsidRPr="0068252A">
        <w:rPr>
          <w:rFonts w:ascii="Calibri" w:eastAsia="Calibri" w:hAnsi="Calibri" w:cs="Calibri"/>
          <w:b/>
          <w:bCs/>
          <w:color w:val="7B52A1"/>
        </w:rPr>
        <w:t>Key Design Decision — Dashboard Structure</w:t>
      </w:r>
    </w:p>
    <w:p w14:paraId="1A81D846" w14:textId="7F31D343" w:rsidR="0068252A" w:rsidRDefault="0068252A" w:rsidP="0068252A">
      <w:pPr>
        <w:spacing w:after="100"/>
      </w:pPr>
      <w:r>
        <w:rPr>
          <w:rFonts w:ascii="Calibri" w:eastAsia="Calibri" w:hAnsi="Calibri" w:cs="Calibri"/>
          <w:color w:val="1E1E1E"/>
        </w:rPr>
        <w:t xml:space="preserve">The most significant design decision was how to </w:t>
      </w:r>
      <w:r>
        <w:rPr>
          <w:rFonts w:ascii="Calibri" w:eastAsia="Calibri" w:hAnsi="Calibri" w:cs="Calibri"/>
          <w:color w:val="1E1E1E"/>
        </w:rPr>
        <w:t>organize</w:t>
      </w:r>
      <w:r>
        <w:rPr>
          <w:rFonts w:ascii="Calibri" w:eastAsia="Calibri" w:hAnsi="Calibri" w:cs="Calibri"/>
          <w:color w:val="1E1E1E"/>
        </w:rPr>
        <w:t xml:space="preserve"> the exploratory dashboard.</w:t>
      </w:r>
    </w:p>
    <w:p w14:paraId="0252B832" w14:textId="77777777" w:rsidR="0068252A" w:rsidRDefault="0068252A" w:rsidP="0068252A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Approach taken</w:t>
      </w:r>
      <w:r>
        <w:rPr>
          <w:rFonts w:ascii="Calibri" w:eastAsia="Calibri" w:hAnsi="Calibri" w:cs="Calibri"/>
          <w:color w:val="555555"/>
        </w:rPr>
        <w:t xml:space="preserve"> — Structured the dashboard around three distinct analytical questions rather than showing all variables at once</w:t>
      </w:r>
    </w:p>
    <w:p w14:paraId="3A710392" w14:textId="77777777" w:rsidR="0068252A" w:rsidRDefault="0068252A" w:rsidP="0068252A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Each page answered one specific question</w:t>
      </w:r>
      <w:r>
        <w:rPr>
          <w:rFonts w:ascii="Calibri" w:eastAsia="Calibri" w:hAnsi="Calibri" w:cs="Calibri"/>
          <w:color w:val="555555"/>
        </w:rPr>
        <w:t xml:space="preserve"> — a hotel manager or revenue analyst would actually ask</w:t>
      </w:r>
    </w:p>
    <w:p w14:paraId="1CA2D4BB" w14:textId="77777777" w:rsidR="0068252A" w:rsidRDefault="0068252A" w:rsidP="0068252A">
      <w:pPr>
        <w:spacing w:after="80"/>
      </w:pPr>
    </w:p>
    <w:p w14:paraId="2DC7C880" w14:textId="77777777" w:rsidR="0068252A" w:rsidRDefault="0068252A" w:rsidP="0068252A">
      <w:pPr>
        <w:spacing w:after="80"/>
      </w:pPr>
      <w:r>
        <w:rPr>
          <w:rFonts w:ascii="Calibri" w:eastAsia="Calibri" w:hAnsi="Calibri" w:cs="Calibri"/>
          <w:b/>
          <w:bCs/>
          <w:color w:val="1E1E1E"/>
        </w:rPr>
        <w:t>The three dashboard pages were:</w:t>
      </w:r>
    </w:p>
    <w:p w14:paraId="6463A3AD" w14:textId="77777777" w:rsidR="0068252A" w:rsidRDefault="0068252A" w:rsidP="0068252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1E1E1E"/>
        </w:rPr>
        <w:t>Cancellation trends over time</w:t>
      </w:r>
    </w:p>
    <w:p w14:paraId="5D8B0122" w14:textId="77777777" w:rsidR="0068252A" w:rsidRPr="0068252A" w:rsidRDefault="0068252A" w:rsidP="0068252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1E1E1E"/>
        </w:rPr>
        <w:t>Cancellation drivers</w:t>
      </w:r>
    </w:p>
    <w:p w14:paraId="15C39123" w14:textId="38B754A9" w:rsidR="009D0CBE" w:rsidRPr="0068252A" w:rsidRDefault="0068252A" w:rsidP="0068252A">
      <w:pPr>
        <w:pStyle w:val="ListParagraph"/>
        <w:numPr>
          <w:ilvl w:val="0"/>
          <w:numId w:val="4"/>
        </w:numPr>
        <w:spacing w:after="60"/>
      </w:pPr>
      <w:r w:rsidRPr="0068252A">
        <w:rPr>
          <w:rFonts w:ascii="Calibri" w:eastAsia="Calibri" w:hAnsi="Calibri" w:cs="Calibri"/>
          <w:color w:val="1E1E1E"/>
        </w:rPr>
        <w:t>Segment risk analysis</w:t>
      </w:r>
    </w:p>
    <w:p w14:paraId="4599D548" w14:textId="77777777" w:rsidR="0068252A" w:rsidRDefault="0068252A" w:rsidP="0068252A">
      <w:pPr>
        <w:pStyle w:val="ListParagraph"/>
        <w:spacing w:after="60"/>
        <w:ind w:left="720"/>
      </w:pPr>
    </w:p>
    <w:p w14:paraId="1AF9580E" w14:textId="77777777" w:rsidR="0068252A" w:rsidRDefault="0068252A">
      <w:pPr>
        <w:spacing w:after="60"/>
        <w:rPr>
          <w:rFonts w:ascii="Calibri" w:eastAsia="Calibri" w:hAnsi="Calibri" w:cs="Calibri"/>
          <w:b/>
          <w:bCs/>
          <w:color w:val="1E1E1E"/>
        </w:rPr>
      </w:pPr>
    </w:p>
    <w:p w14:paraId="0F182803" w14:textId="77777777" w:rsidR="0068252A" w:rsidRDefault="0068252A">
      <w:pPr>
        <w:spacing w:after="60"/>
        <w:rPr>
          <w:rFonts w:ascii="Calibri" w:eastAsia="Calibri" w:hAnsi="Calibri" w:cs="Calibri"/>
          <w:b/>
          <w:bCs/>
          <w:color w:val="1E1E1E"/>
        </w:rPr>
      </w:pPr>
    </w:p>
    <w:p w14:paraId="6A601E98" w14:textId="77777777" w:rsidR="0068252A" w:rsidRDefault="0068252A">
      <w:pPr>
        <w:spacing w:after="60"/>
        <w:rPr>
          <w:rFonts w:ascii="Calibri" w:eastAsia="Calibri" w:hAnsi="Calibri" w:cs="Calibri"/>
          <w:b/>
          <w:bCs/>
          <w:color w:val="1E1E1E"/>
        </w:rPr>
      </w:pPr>
    </w:p>
    <w:p w14:paraId="0AA39B73" w14:textId="2CC3B0BD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1E1E1E"/>
        </w:rPr>
        <w:lastRenderedPageBreak/>
        <w:t>Three-Act Structure for the PowerPoint</w:t>
      </w:r>
      <w:r w:rsidR="0068252A">
        <w:rPr>
          <w:rFonts w:ascii="Calibri" w:eastAsia="Calibri" w:hAnsi="Calibri" w:cs="Calibri"/>
          <w:b/>
          <w:bCs/>
          <w:color w:val="1E1E1E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9D0CBE" w14:paraId="702BE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32F0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08D1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F56B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 This Project</w:t>
            </w:r>
          </w:p>
        </w:tc>
      </w:tr>
      <w:tr w:rsidR="009D0CBE" w14:paraId="322758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400B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Setup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DC4E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Establish the problem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9544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37% of bookings cancel — revenue is at risk</w:t>
            </w:r>
          </w:p>
        </w:tc>
      </w:tr>
      <w:tr w:rsidR="009D0CBE" w14:paraId="12B72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37E8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967F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Identify the drivers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7075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Season, lead time, and distribution channel all drive risk</w:t>
            </w:r>
          </w:p>
        </w:tc>
      </w:tr>
      <w:tr w:rsidR="009D0CBE" w14:paraId="3BBB0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5A0F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Resolution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A1DB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Offer concrete actions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F12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Three recommendations tied directly to the data findings</w:t>
            </w:r>
          </w:p>
        </w:tc>
      </w:tr>
    </w:tbl>
    <w:p w14:paraId="1225CF62" w14:textId="77777777" w:rsidR="009D0CBE" w:rsidRDefault="009D0CBE">
      <w:pPr>
        <w:spacing w:after="80"/>
      </w:pPr>
    </w:p>
    <w:p w14:paraId="4F919D45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204B4286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3. Design Challenges and Areas for Improvement</w:t>
      </w:r>
    </w:p>
    <w:p w14:paraId="0243DC16" w14:textId="0482A88E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Q: Were there any design challenges or areas where work could still be improved?</w:t>
      </w:r>
    </w:p>
    <w:p w14:paraId="005EDD76" w14:textId="77777777" w:rsidR="009D0CBE" w:rsidRDefault="009D0CBE">
      <w:pPr>
        <w:spacing w:after="80"/>
      </w:pPr>
    </w:p>
    <w:p w14:paraId="5262A473" w14:textId="77777777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1E1E1E"/>
        </w:rPr>
        <w:t>Challenges Faced</w:t>
      </w:r>
    </w:p>
    <w:p w14:paraId="2D4BC38A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Exploratory to explanatory transition</w:t>
      </w:r>
      <w:r>
        <w:rPr>
          <w:rFonts w:ascii="Calibri" w:eastAsia="Calibri" w:hAnsi="Calibri" w:cs="Calibri"/>
          <w:color w:val="555555"/>
        </w:rPr>
        <w:t xml:space="preserve"> — The hardest shift — a dashboard invites exploration while a PowerPoint demands a single argument. Took multiple iterations to cut down the story to just three findings</w:t>
      </w:r>
    </w:p>
    <w:p w14:paraId="4E9940B3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Revenue metric</w:t>
      </w:r>
      <w:r>
        <w:rPr>
          <w:rFonts w:ascii="Calibri" w:eastAsia="Calibri" w:hAnsi="Calibri" w:cs="Calibri"/>
          <w:color w:val="555555"/>
        </w:rPr>
        <w:t xml:space="preserve"> — Without pricing data in the dataset, estimating revenue impact required assumptions that needed to be clearly communicated to avoid misleading the audience</w:t>
      </w:r>
    </w:p>
    <w:p w14:paraId="6853FC60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Segment labeling</w:t>
      </w:r>
      <w:r>
        <w:rPr>
          <w:rFonts w:ascii="Calibri" w:eastAsia="Calibri" w:hAnsi="Calibri" w:cs="Calibri"/>
          <w:color w:val="555555"/>
        </w:rPr>
        <w:t xml:space="preserve"> — Some market segment names in the raw data were unclear (e.g. Undefined) — deciding how to handle and label these without distorting the results required care</w:t>
      </w:r>
    </w:p>
    <w:p w14:paraId="7905D78C" w14:textId="77777777" w:rsidR="009D0CBE" w:rsidRDefault="009D0CBE">
      <w:pPr>
        <w:spacing w:after="80"/>
      </w:pPr>
    </w:p>
    <w:p w14:paraId="702B0C8B" w14:textId="77777777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1E1E1E"/>
        </w:rPr>
        <w:t>What Could Still Be Improved</w:t>
      </w:r>
    </w:p>
    <w:p w14:paraId="3E8D25E9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Actual revenue data</w:t>
      </w:r>
      <w:r>
        <w:rPr>
          <w:rFonts w:ascii="Calibri" w:eastAsia="Calibri" w:hAnsi="Calibri" w:cs="Calibri"/>
          <w:color w:val="555555"/>
        </w:rPr>
        <w:t xml:space="preserve"> — If real average daily rate and length of stay data were available per booking, the financial impact slide would be far more precise and compelling</w:t>
      </w:r>
    </w:p>
    <w:p w14:paraId="47F42766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Interactivity in PowerPoint</w:t>
      </w:r>
      <w:r>
        <w:rPr>
          <w:rFonts w:ascii="Calibri" w:eastAsia="Calibri" w:hAnsi="Calibri" w:cs="Calibri"/>
          <w:color w:val="555555"/>
        </w:rPr>
        <w:t xml:space="preserve"> — The dashboard allows users to filter and explore — the PowerPoint loses that. A future improvement could be adding interactive elements or a drill-down view</w:t>
      </w:r>
    </w:p>
    <w:p w14:paraId="7C984007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Hotel type comparison</w:t>
      </w:r>
      <w:r>
        <w:rPr>
          <w:rFonts w:ascii="Calibri" w:eastAsia="Calibri" w:hAnsi="Calibri" w:cs="Calibri"/>
          <w:color w:val="555555"/>
        </w:rPr>
        <w:t xml:space="preserve"> — The current analysis treats both hotels together in some slides — splitting findings by City vs Resort Hotel could surface additional insights</w:t>
      </w:r>
    </w:p>
    <w:p w14:paraId="77DD53C9" w14:textId="77777777" w:rsidR="009D0CBE" w:rsidRDefault="009D0CBE">
      <w:pPr>
        <w:spacing w:after="80"/>
      </w:pPr>
    </w:p>
    <w:p w14:paraId="00E440FB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4F9D9382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4. How Feedback Shaped the Work</w:t>
      </w:r>
    </w:p>
    <w:p w14:paraId="6B30B027" w14:textId="3773A8E3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 xml:space="preserve">Q: How did feedback influence </w:t>
      </w:r>
      <w:r w:rsidR="0068252A"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 xml:space="preserve">my </w:t>
      </w: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revisions?</w:t>
      </w:r>
    </w:p>
    <w:p w14:paraId="45E2A9E0" w14:textId="77777777" w:rsidR="009D0CBE" w:rsidRDefault="00000000">
      <w:pPr>
        <w:spacing w:after="100"/>
      </w:pPr>
      <w:r>
        <w:rPr>
          <w:rFonts w:ascii="Calibri" w:eastAsia="Calibri" w:hAnsi="Calibri" w:cs="Calibri"/>
          <w:color w:val="1E1E1E"/>
        </w:rPr>
        <w:t>Feedback from the Week 7 design review led to two concrete changes:</w:t>
      </w:r>
    </w:p>
    <w:p w14:paraId="239BCAD2" w14:textId="77777777" w:rsidR="009D0CBE" w:rsidRDefault="009D0CBE">
      <w:pPr>
        <w:spacing w:after="80"/>
      </w:pPr>
    </w:p>
    <w:p w14:paraId="2AC0A8F7" w14:textId="77777777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1E1E1E"/>
        </w:rPr>
        <w:t>Change 1 — Lead Time Elevated to Central Finding</w:t>
      </w:r>
    </w:p>
    <w:p w14:paraId="3C1EDAEE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Before feedback</w:t>
      </w:r>
      <w:r>
        <w:rPr>
          <w:rFonts w:ascii="Calibri" w:eastAsia="Calibri" w:hAnsi="Calibri" w:cs="Calibri"/>
          <w:color w:val="555555"/>
        </w:rPr>
        <w:t xml:space="preserve"> — Lead time histogram was a supporting chart on the Cancellation Drivers page</w:t>
      </w:r>
    </w:p>
    <w:p w14:paraId="06C1B614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What the group said</w:t>
      </w:r>
      <w:r>
        <w:rPr>
          <w:rFonts w:ascii="Calibri" w:eastAsia="Calibri" w:hAnsi="Calibri" w:cs="Calibri"/>
          <w:color w:val="555555"/>
        </w:rPr>
        <w:t xml:space="preserve"> — A clear threshold in lead time translates directly into a deposit policy recommendation — it deserved more prominence</w:t>
      </w:r>
    </w:p>
    <w:p w14:paraId="5072DA08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After feedback</w:t>
      </w:r>
      <w:r>
        <w:rPr>
          <w:rFonts w:ascii="Calibri" w:eastAsia="Calibri" w:hAnsi="Calibri" w:cs="Calibri"/>
          <w:color w:val="555555"/>
        </w:rPr>
        <w:t xml:space="preserve"> — Moved to the central finding of the page with a highlighted risk window and a direct policy callout</w:t>
      </w:r>
    </w:p>
    <w:p w14:paraId="61234AA8" w14:textId="77777777" w:rsidR="009D0CBE" w:rsidRDefault="009D0CBE">
      <w:pPr>
        <w:spacing w:after="80"/>
      </w:pPr>
    </w:p>
    <w:p w14:paraId="21F4027F" w14:textId="77777777" w:rsidR="009D0CBE" w:rsidRDefault="00000000">
      <w:pPr>
        <w:spacing w:after="60"/>
      </w:pPr>
      <w:r>
        <w:rPr>
          <w:rFonts w:ascii="Calibri" w:eastAsia="Calibri" w:hAnsi="Calibri" w:cs="Calibri"/>
          <w:b/>
          <w:bCs/>
          <w:color w:val="1E1E1E"/>
        </w:rPr>
        <w:lastRenderedPageBreak/>
        <w:t>Change 2 — Revenue Impact Metric Added</w:t>
      </w:r>
    </w:p>
    <w:p w14:paraId="29109875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Before feedback</w:t>
      </w:r>
      <w:r>
        <w:rPr>
          <w:rFonts w:ascii="Calibri" w:eastAsia="Calibri" w:hAnsi="Calibri" w:cs="Calibri"/>
          <w:color w:val="555555"/>
        </w:rPr>
        <w:t xml:space="preserve"> — The storyboard focused on cancellation rates without connecting them to financial consequences</w:t>
      </w:r>
    </w:p>
    <w:p w14:paraId="7CB57D91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What the group said</w:t>
      </w:r>
      <w:r>
        <w:rPr>
          <w:rFonts w:ascii="Calibri" w:eastAsia="Calibri" w:hAnsi="Calibri" w:cs="Calibri"/>
          <w:color w:val="555555"/>
        </w:rPr>
        <w:t xml:space="preserve"> — The operations perspective was missing — a hotel manager needs to see the cost, not just the rate</w:t>
      </w:r>
    </w:p>
    <w:p w14:paraId="599F254D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After feedback</w:t>
      </w:r>
      <w:r>
        <w:rPr>
          <w:rFonts w:ascii="Calibri" w:eastAsia="Calibri" w:hAnsi="Calibri" w:cs="Calibri"/>
          <w:color w:val="555555"/>
        </w:rPr>
        <w:t xml:space="preserve"> — Added an estimated revenue lost metric to the business problem slide to make the stakes concrete</w:t>
      </w:r>
    </w:p>
    <w:p w14:paraId="4966DE1A" w14:textId="77777777" w:rsidR="009D0CBE" w:rsidRDefault="009D0C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9D0CBE" w14:paraId="5BD8BCC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876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637134" w14:textId="77777777" w:rsidR="009D0CBE" w:rsidRDefault="009D0CBE"/>
        </w:tc>
        <w:tc>
          <w:tcPr>
            <w:tcW w:w="9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A7EA1" w14:textId="77777777" w:rsidR="009D0CBE" w:rsidRDefault="00000000">
            <w:r>
              <w:rPr>
                <w:rFonts w:ascii="Calibri" w:eastAsia="Calibri" w:hAnsi="Calibri" w:cs="Calibri"/>
                <w:i/>
                <w:iCs/>
                <w:color w:val="1E1E1E"/>
              </w:rPr>
              <w:t>Feedback made the work more actionable. The original storyboard described the data well — the revised version makes an argument that leads somewhere.</w:t>
            </w:r>
          </w:p>
        </w:tc>
      </w:tr>
    </w:tbl>
    <w:p w14:paraId="24D00E45" w14:textId="77777777" w:rsidR="009D0CBE" w:rsidRDefault="009D0CBE">
      <w:pPr>
        <w:spacing w:after="80"/>
      </w:pPr>
    </w:p>
    <w:p w14:paraId="5CC021F7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51E3E3B6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5. Exploratory vs Explanatory — Purpose, Structure and Storytelling</w:t>
      </w:r>
    </w:p>
    <w:p w14:paraId="2EA394EF" w14:textId="77777777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Q: How did your exploratory and explanatory visualizations differ in purpose, structure, and storytelling approach?</w:t>
      </w:r>
    </w:p>
    <w:p w14:paraId="54956A2B" w14:textId="77777777" w:rsidR="009D0CBE" w:rsidRDefault="009D0C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9D0CBE" w14:paraId="5A67A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C931" w14:textId="77777777" w:rsidR="009D0CBE" w:rsidRDefault="009D0CBE"/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0EA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Exploratory Dashboard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2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68C2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Explanatory PowerPoint</w:t>
            </w:r>
          </w:p>
        </w:tc>
      </w:tr>
      <w:tr w:rsidR="009D0CBE" w14:paraId="019B3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0A4C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9"/>
                <w:szCs w:val="19"/>
              </w:rPr>
              <w:t>Purpose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EA04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Let the user discover patterns themselves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5E37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Make a single focused argument</w:t>
            </w:r>
          </w:p>
        </w:tc>
      </w:tr>
      <w:tr w:rsidR="009D0CBE" w14:paraId="2204E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9D70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9"/>
                <w:szCs w:val="19"/>
              </w:rPr>
              <w:t>Structure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9F9E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Three pages, each answering one question — user controls what they look at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2BBD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Seven slides in a fixed sequence — no branching</w:t>
            </w:r>
          </w:p>
        </w:tc>
      </w:tr>
      <w:tr w:rsidR="009D0CBE" w14:paraId="68911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8645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9"/>
                <w:szCs w:val="19"/>
              </w:rPr>
              <w:t>Storytelling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D443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Open-ended — different analysts may reach different conclusions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0E52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Linear three-act structure — setup, conflict, resolution</w:t>
            </w:r>
          </w:p>
        </w:tc>
      </w:tr>
      <w:tr w:rsidR="009D0CBE" w14:paraId="7DEDB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5957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9"/>
                <w:szCs w:val="19"/>
              </w:rPr>
              <w:t>Audience control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2BB5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High — filters, slicers, cross-highlighting available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9512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None — presenter controls the flow</w:t>
            </w:r>
          </w:p>
        </w:tc>
      </w:tr>
      <w:tr w:rsidR="009D0CBE" w14:paraId="31B964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235C" w14:textId="77777777" w:rsidR="009D0CBE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9"/>
                <w:szCs w:val="19"/>
              </w:rPr>
              <w:t>What it assumes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3D31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The audience has time and curiosity to explore</w:t>
            </w:r>
          </w:p>
        </w:tc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4031" w14:textId="77777777" w:rsidR="009D0CBE" w:rsidRDefault="00000000">
            <w:r>
              <w:rPr>
                <w:rFonts w:ascii="Calibri" w:eastAsia="Calibri" w:hAnsi="Calibri" w:cs="Calibri"/>
                <w:color w:val="1E1E1E"/>
                <w:sz w:val="19"/>
                <w:szCs w:val="19"/>
              </w:rPr>
              <w:t>The audience needs to be convinced quickly</w:t>
            </w:r>
          </w:p>
        </w:tc>
      </w:tr>
    </w:tbl>
    <w:p w14:paraId="3060C83D" w14:textId="77777777" w:rsidR="009D0CBE" w:rsidRDefault="009D0CBE">
      <w:pPr>
        <w:spacing w:after="80"/>
      </w:pPr>
    </w:p>
    <w:p w14:paraId="0BEE893B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59135155" w14:textId="77777777" w:rsidR="009D0CBE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7B52A1"/>
          <w:sz w:val="26"/>
          <w:szCs w:val="26"/>
        </w:rPr>
        <w:t>6. Key Takeaway and Ethical Reflection</w:t>
      </w:r>
    </w:p>
    <w:p w14:paraId="55240CDC" w14:textId="77777777" w:rsidR="009D0CBE" w:rsidRDefault="00000000">
      <w:pPr>
        <w:spacing w:before="120" w:after="80"/>
      </w:pPr>
      <w:r>
        <w:rPr>
          <w:rFonts w:ascii="Calibri" w:eastAsia="Calibri" w:hAnsi="Calibri" w:cs="Calibri"/>
          <w:b/>
          <w:bCs/>
          <w:i/>
          <w:iCs/>
          <w:color w:val="E8876A"/>
          <w:sz w:val="19"/>
          <w:szCs w:val="19"/>
        </w:rPr>
        <w:t>Q: What was your most important takeaway from this project?</w:t>
      </w:r>
    </w:p>
    <w:p w14:paraId="630E2BBC" w14:textId="77777777" w:rsidR="009D0CBE" w:rsidRDefault="009D0C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9D0CBE" w14:paraId="5BE102E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876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B0C701" w14:textId="77777777" w:rsidR="009D0CBE" w:rsidRDefault="009D0CBE"/>
        </w:tc>
        <w:tc>
          <w:tcPr>
            <w:tcW w:w="9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F46EE" w14:textId="77777777" w:rsidR="009D0CBE" w:rsidRDefault="00000000">
            <w:r>
              <w:rPr>
                <w:rFonts w:ascii="Calibri" w:eastAsia="Calibri" w:hAnsi="Calibri" w:cs="Calibri"/>
                <w:i/>
                <w:iCs/>
                <w:color w:val="1E1E1E"/>
              </w:rPr>
              <w:t>Visualization is a decision-making tool, not just a reporting tool. Every design choice — color, order, what to include, what to leave out — shapes what the audience believes and what they do next.</w:t>
            </w:r>
          </w:p>
        </w:tc>
      </w:tr>
    </w:tbl>
    <w:p w14:paraId="623A68EF" w14:textId="77777777" w:rsidR="009D0CBE" w:rsidRDefault="009D0CBE">
      <w:pPr>
        <w:spacing w:after="80"/>
      </w:pPr>
    </w:p>
    <w:p w14:paraId="75D8780E" w14:textId="77777777" w:rsidR="009D0CBE" w:rsidRDefault="00000000">
      <w:pPr>
        <w:spacing w:after="80"/>
      </w:pPr>
      <w:r>
        <w:rPr>
          <w:rFonts w:ascii="Calibri" w:eastAsia="Calibri" w:hAnsi="Calibri" w:cs="Calibri"/>
          <w:b/>
          <w:bCs/>
          <w:color w:val="1E1E1E"/>
        </w:rPr>
        <w:t>Specific design choices and their impact:</w:t>
      </w:r>
    </w:p>
    <w:p w14:paraId="0C82AC1F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Color</w:t>
      </w:r>
      <w:r>
        <w:rPr>
          <w:rFonts w:ascii="Calibri" w:eastAsia="Calibri" w:hAnsi="Calibri" w:cs="Calibri"/>
          <w:color w:val="555555"/>
        </w:rPr>
        <w:t xml:space="preserve"> — Used to signal meaning — amber for above-average months, red for highest-risk channel — not just for style</w:t>
      </w:r>
    </w:p>
    <w:p w14:paraId="0C11DEA2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Order of findings</w:t>
      </w:r>
      <w:r>
        <w:rPr>
          <w:rFonts w:ascii="Calibri" w:eastAsia="Calibri" w:hAnsi="Calibri" w:cs="Calibri"/>
          <w:color w:val="555555"/>
        </w:rPr>
        <w:t xml:space="preserve"> — Arranged from most visible (seasonal patterns) to most actionable (channel mix) so the audience builds understanding before being asked to act</w:t>
      </w:r>
    </w:p>
    <w:p w14:paraId="24969743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lastRenderedPageBreak/>
        <w:t>What was left out</w:t>
      </w:r>
      <w:r>
        <w:rPr>
          <w:rFonts w:ascii="Calibri" w:eastAsia="Calibri" w:hAnsi="Calibri" w:cs="Calibri"/>
          <w:color w:val="555555"/>
        </w:rPr>
        <w:t xml:space="preserve"> — Several variables were explored but cut because they could not be tied to a concrete recommendation — inclusion without purpose creates noise</w:t>
      </w:r>
    </w:p>
    <w:p w14:paraId="4035B7D6" w14:textId="77777777" w:rsidR="009D0CBE" w:rsidRDefault="009D0CBE">
      <w:pPr>
        <w:spacing w:after="80"/>
      </w:pPr>
    </w:p>
    <w:p w14:paraId="67DA660E" w14:textId="77777777" w:rsidR="009D0CBE" w:rsidRDefault="00000000">
      <w:pPr>
        <w:spacing w:after="80"/>
      </w:pPr>
      <w:r>
        <w:rPr>
          <w:rFonts w:ascii="Calibri" w:eastAsia="Calibri" w:hAnsi="Calibri" w:cs="Calibri"/>
          <w:b/>
          <w:bCs/>
          <w:color w:val="1E1E1E"/>
        </w:rPr>
        <w:t>Ethical consideration — Do No Harm:</w:t>
      </w:r>
    </w:p>
    <w:p w14:paraId="408A14B5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Framing of segments</w:t>
      </w:r>
      <w:r>
        <w:rPr>
          <w:rFonts w:ascii="Calibri" w:eastAsia="Calibri" w:hAnsi="Calibri" w:cs="Calibri"/>
          <w:color w:val="555555"/>
        </w:rPr>
        <w:t xml:space="preserve"> — Questioned whether grouping customers by market segment or channel as high-risk could be reductive — especially when policy recommendations follow from that framing</w:t>
      </w:r>
    </w:p>
    <w:p w14:paraId="0C4933A2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Data limitations</w:t>
      </w:r>
      <w:r>
        <w:rPr>
          <w:rFonts w:ascii="Calibri" w:eastAsia="Calibri" w:hAnsi="Calibri" w:cs="Calibri"/>
          <w:color w:val="555555"/>
        </w:rPr>
        <w:t xml:space="preserve"> — Made sure the analysis was transparent about what the data can and cannot tell us — correlation in cancellation patterns does not mean causation</w:t>
      </w:r>
    </w:p>
    <w:p w14:paraId="6F4E7317" w14:textId="77777777" w:rsidR="009D0CB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E1E1E"/>
        </w:rPr>
        <w:t>Broader lesson</w:t>
      </w:r>
      <w:r>
        <w:rPr>
          <w:rFonts w:ascii="Calibri" w:eastAsia="Calibri" w:hAnsi="Calibri" w:cs="Calibri"/>
          <w:color w:val="555555"/>
        </w:rPr>
        <w:t xml:space="preserve"> — Responsible visualization is not only relevant when analyzing communities — it applies whenever data is used to support decisions that affect real people</w:t>
      </w:r>
    </w:p>
    <w:p w14:paraId="2FA21DC3" w14:textId="77777777" w:rsidR="009D0CBE" w:rsidRDefault="009D0CBE">
      <w:pPr>
        <w:spacing w:after="80"/>
      </w:pPr>
    </w:p>
    <w:p w14:paraId="795C8499" w14:textId="77777777" w:rsidR="009D0CBE" w:rsidRDefault="009D0CBE">
      <w:pPr>
        <w:pBdr>
          <w:bottom w:val="single" w:sz="3" w:space="1" w:color="DDDDDD"/>
        </w:pBdr>
        <w:spacing w:before="120" w:after="120"/>
      </w:pPr>
    </w:p>
    <w:p w14:paraId="6D57DBB6" w14:textId="6B22D511" w:rsidR="009D0CBE" w:rsidRDefault="009D0CBE">
      <w:pPr>
        <w:spacing w:before="80"/>
      </w:pPr>
    </w:p>
    <w:sectPr w:rsidR="009D0C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B78"/>
    <w:multiLevelType w:val="hybridMultilevel"/>
    <w:tmpl w:val="F5F09598"/>
    <w:lvl w:ilvl="0" w:tplc="4C7EEC84">
      <w:start w:val="1"/>
      <w:numFmt w:val="decimal"/>
      <w:lvlText w:val="%1."/>
      <w:lvlJc w:val="left"/>
      <w:pPr>
        <w:ind w:left="720" w:hanging="360"/>
      </w:pPr>
    </w:lvl>
    <w:lvl w:ilvl="1" w:tplc="169A569E">
      <w:numFmt w:val="decimal"/>
      <w:lvlText w:val=""/>
      <w:lvlJc w:val="left"/>
    </w:lvl>
    <w:lvl w:ilvl="2" w:tplc="3FCA9432">
      <w:numFmt w:val="decimal"/>
      <w:lvlText w:val=""/>
      <w:lvlJc w:val="left"/>
    </w:lvl>
    <w:lvl w:ilvl="3" w:tplc="CC52E8EC">
      <w:numFmt w:val="decimal"/>
      <w:lvlText w:val=""/>
      <w:lvlJc w:val="left"/>
    </w:lvl>
    <w:lvl w:ilvl="4" w:tplc="2A30E5DE">
      <w:numFmt w:val="decimal"/>
      <w:lvlText w:val=""/>
      <w:lvlJc w:val="left"/>
    </w:lvl>
    <w:lvl w:ilvl="5" w:tplc="01F44D00">
      <w:numFmt w:val="decimal"/>
      <w:lvlText w:val=""/>
      <w:lvlJc w:val="left"/>
    </w:lvl>
    <w:lvl w:ilvl="6" w:tplc="631CA90A">
      <w:numFmt w:val="decimal"/>
      <w:lvlText w:val=""/>
      <w:lvlJc w:val="left"/>
    </w:lvl>
    <w:lvl w:ilvl="7" w:tplc="74AED15C">
      <w:numFmt w:val="decimal"/>
      <w:lvlText w:val=""/>
      <w:lvlJc w:val="left"/>
    </w:lvl>
    <w:lvl w:ilvl="8" w:tplc="32C28A80">
      <w:numFmt w:val="decimal"/>
      <w:lvlText w:val=""/>
      <w:lvlJc w:val="left"/>
    </w:lvl>
  </w:abstractNum>
  <w:abstractNum w:abstractNumId="1" w15:restartNumberingAfterBreak="0">
    <w:nsid w:val="1B346164"/>
    <w:multiLevelType w:val="hybridMultilevel"/>
    <w:tmpl w:val="213EA7F4"/>
    <w:lvl w:ilvl="0" w:tplc="AA3094F8">
      <w:start w:val="1"/>
      <w:numFmt w:val="decimal"/>
      <w:lvlText w:val="%1."/>
      <w:lvlJc w:val="left"/>
      <w:pPr>
        <w:ind w:left="720" w:hanging="360"/>
      </w:pPr>
    </w:lvl>
    <w:lvl w:ilvl="1" w:tplc="714AA42A">
      <w:numFmt w:val="decimal"/>
      <w:lvlText w:val=""/>
      <w:lvlJc w:val="left"/>
    </w:lvl>
    <w:lvl w:ilvl="2" w:tplc="4ADA1674">
      <w:numFmt w:val="decimal"/>
      <w:lvlText w:val=""/>
      <w:lvlJc w:val="left"/>
    </w:lvl>
    <w:lvl w:ilvl="3" w:tplc="BADAC378">
      <w:numFmt w:val="decimal"/>
      <w:lvlText w:val=""/>
      <w:lvlJc w:val="left"/>
    </w:lvl>
    <w:lvl w:ilvl="4" w:tplc="627812FE">
      <w:numFmt w:val="decimal"/>
      <w:lvlText w:val=""/>
      <w:lvlJc w:val="left"/>
    </w:lvl>
    <w:lvl w:ilvl="5" w:tplc="07C094F4">
      <w:numFmt w:val="decimal"/>
      <w:lvlText w:val=""/>
      <w:lvlJc w:val="left"/>
    </w:lvl>
    <w:lvl w:ilvl="6" w:tplc="EFAC62F0">
      <w:numFmt w:val="decimal"/>
      <w:lvlText w:val=""/>
      <w:lvlJc w:val="left"/>
    </w:lvl>
    <w:lvl w:ilvl="7" w:tplc="03DC91F4">
      <w:numFmt w:val="decimal"/>
      <w:lvlText w:val=""/>
      <w:lvlJc w:val="left"/>
    </w:lvl>
    <w:lvl w:ilvl="8" w:tplc="E6165FDA">
      <w:numFmt w:val="decimal"/>
      <w:lvlText w:val=""/>
      <w:lvlJc w:val="left"/>
    </w:lvl>
  </w:abstractNum>
  <w:abstractNum w:abstractNumId="2" w15:restartNumberingAfterBreak="0">
    <w:nsid w:val="38FB4384"/>
    <w:multiLevelType w:val="hybridMultilevel"/>
    <w:tmpl w:val="CCDEF670"/>
    <w:lvl w:ilvl="0" w:tplc="B24A3FC6">
      <w:start w:val="1"/>
      <w:numFmt w:val="bullet"/>
      <w:lvlText w:val="•"/>
      <w:lvlJc w:val="left"/>
      <w:pPr>
        <w:ind w:left="720" w:hanging="360"/>
      </w:pPr>
    </w:lvl>
    <w:lvl w:ilvl="1" w:tplc="EFCE5F04">
      <w:numFmt w:val="decimal"/>
      <w:lvlText w:val=""/>
      <w:lvlJc w:val="left"/>
    </w:lvl>
    <w:lvl w:ilvl="2" w:tplc="8AEADA3C">
      <w:numFmt w:val="decimal"/>
      <w:lvlText w:val=""/>
      <w:lvlJc w:val="left"/>
    </w:lvl>
    <w:lvl w:ilvl="3" w:tplc="B1ACB2C4">
      <w:numFmt w:val="decimal"/>
      <w:lvlText w:val=""/>
      <w:lvlJc w:val="left"/>
    </w:lvl>
    <w:lvl w:ilvl="4" w:tplc="7E18C4CC">
      <w:numFmt w:val="decimal"/>
      <w:lvlText w:val=""/>
      <w:lvlJc w:val="left"/>
    </w:lvl>
    <w:lvl w:ilvl="5" w:tplc="3C34204E">
      <w:numFmt w:val="decimal"/>
      <w:lvlText w:val=""/>
      <w:lvlJc w:val="left"/>
    </w:lvl>
    <w:lvl w:ilvl="6" w:tplc="D214C430">
      <w:numFmt w:val="decimal"/>
      <w:lvlText w:val=""/>
      <w:lvlJc w:val="left"/>
    </w:lvl>
    <w:lvl w:ilvl="7" w:tplc="1684135A">
      <w:numFmt w:val="decimal"/>
      <w:lvlText w:val=""/>
      <w:lvlJc w:val="left"/>
    </w:lvl>
    <w:lvl w:ilvl="8" w:tplc="C5A26AAC">
      <w:numFmt w:val="decimal"/>
      <w:lvlText w:val=""/>
      <w:lvlJc w:val="left"/>
    </w:lvl>
  </w:abstractNum>
  <w:abstractNum w:abstractNumId="3" w15:restartNumberingAfterBreak="0">
    <w:nsid w:val="54237BC4"/>
    <w:multiLevelType w:val="hybridMultilevel"/>
    <w:tmpl w:val="BDD2B1E4"/>
    <w:lvl w:ilvl="0" w:tplc="FEE895A6">
      <w:start w:val="1"/>
      <w:numFmt w:val="bullet"/>
      <w:lvlText w:val="•"/>
      <w:lvlJc w:val="left"/>
      <w:pPr>
        <w:ind w:left="720" w:hanging="360"/>
      </w:pPr>
    </w:lvl>
    <w:lvl w:ilvl="1" w:tplc="679A02FE">
      <w:numFmt w:val="decimal"/>
      <w:lvlText w:val=""/>
      <w:lvlJc w:val="left"/>
    </w:lvl>
    <w:lvl w:ilvl="2" w:tplc="35A4207E">
      <w:numFmt w:val="decimal"/>
      <w:lvlText w:val=""/>
      <w:lvlJc w:val="left"/>
    </w:lvl>
    <w:lvl w:ilvl="3" w:tplc="E0FE2356">
      <w:numFmt w:val="decimal"/>
      <w:lvlText w:val=""/>
      <w:lvlJc w:val="left"/>
    </w:lvl>
    <w:lvl w:ilvl="4" w:tplc="DFC07E1A">
      <w:numFmt w:val="decimal"/>
      <w:lvlText w:val=""/>
      <w:lvlJc w:val="left"/>
    </w:lvl>
    <w:lvl w:ilvl="5" w:tplc="34FAABC2">
      <w:numFmt w:val="decimal"/>
      <w:lvlText w:val=""/>
      <w:lvlJc w:val="left"/>
    </w:lvl>
    <w:lvl w:ilvl="6" w:tplc="E2B6F046">
      <w:numFmt w:val="decimal"/>
      <w:lvlText w:val=""/>
      <w:lvlJc w:val="left"/>
    </w:lvl>
    <w:lvl w:ilvl="7" w:tplc="50D67CBC">
      <w:numFmt w:val="decimal"/>
      <w:lvlText w:val=""/>
      <w:lvlJc w:val="left"/>
    </w:lvl>
    <w:lvl w:ilvl="8" w:tplc="D87822AA">
      <w:numFmt w:val="decimal"/>
      <w:lvlText w:val=""/>
      <w:lvlJc w:val="left"/>
    </w:lvl>
  </w:abstractNum>
  <w:abstractNum w:abstractNumId="4" w15:restartNumberingAfterBreak="0">
    <w:nsid w:val="5F992925"/>
    <w:multiLevelType w:val="hybridMultilevel"/>
    <w:tmpl w:val="4926A3BC"/>
    <w:lvl w:ilvl="0" w:tplc="E72408E4">
      <w:start w:val="1"/>
      <w:numFmt w:val="bullet"/>
      <w:lvlText w:val="●"/>
      <w:lvlJc w:val="left"/>
      <w:pPr>
        <w:ind w:left="720" w:hanging="360"/>
      </w:pPr>
    </w:lvl>
    <w:lvl w:ilvl="1" w:tplc="5F68A3A8">
      <w:start w:val="1"/>
      <w:numFmt w:val="bullet"/>
      <w:lvlText w:val="○"/>
      <w:lvlJc w:val="left"/>
      <w:pPr>
        <w:ind w:left="1440" w:hanging="360"/>
      </w:pPr>
    </w:lvl>
    <w:lvl w:ilvl="2" w:tplc="0E88C7E8">
      <w:start w:val="1"/>
      <w:numFmt w:val="bullet"/>
      <w:lvlText w:val="■"/>
      <w:lvlJc w:val="left"/>
      <w:pPr>
        <w:ind w:left="2160" w:hanging="360"/>
      </w:pPr>
    </w:lvl>
    <w:lvl w:ilvl="3" w:tplc="C5168464">
      <w:start w:val="1"/>
      <w:numFmt w:val="bullet"/>
      <w:lvlText w:val="●"/>
      <w:lvlJc w:val="left"/>
      <w:pPr>
        <w:ind w:left="2880" w:hanging="360"/>
      </w:pPr>
    </w:lvl>
    <w:lvl w:ilvl="4" w:tplc="6EE60184">
      <w:start w:val="1"/>
      <w:numFmt w:val="bullet"/>
      <w:lvlText w:val="○"/>
      <w:lvlJc w:val="left"/>
      <w:pPr>
        <w:ind w:left="3600" w:hanging="360"/>
      </w:pPr>
    </w:lvl>
    <w:lvl w:ilvl="5" w:tplc="A18AC48A">
      <w:start w:val="1"/>
      <w:numFmt w:val="bullet"/>
      <w:lvlText w:val="■"/>
      <w:lvlJc w:val="left"/>
      <w:pPr>
        <w:ind w:left="4320" w:hanging="360"/>
      </w:pPr>
    </w:lvl>
    <w:lvl w:ilvl="6" w:tplc="610C8D92">
      <w:start w:val="1"/>
      <w:numFmt w:val="bullet"/>
      <w:lvlText w:val="●"/>
      <w:lvlJc w:val="left"/>
      <w:pPr>
        <w:ind w:left="5040" w:hanging="360"/>
      </w:pPr>
    </w:lvl>
    <w:lvl w:ilvl="7" w:tplc="862CD402">
      <w:start w:val="1"/>
      <w:numFmt w:val="bullet"/>
      <w:lvlText w:val="●"/>
      <w:lvlJc w:val="left"/>
      <w:pPr>
        <w:ind w:left="5760" w:hanging="360"/>
      </w:pPr>
    </w:lvl>
    <w:lvl w:ilvl="8" w:tplc="FBEAF2F6">
      <w:start w:val="1"/>
      <w:numFmt w:val="bullet"/>
      <w:lvlText w:val="●"/>
      <w:lvlJc w:val="left"/>
      <w:pPr>
        <w:ind w:left="6480" w:hanging="360"/>
      </w:pPr>
    </w:lvl>
  </w:abstractNum>
  <w:num w:numId="1" w16cid:durableId="1686905605">
    <w:abstractNumId w:val="4"/>
    <w:lvlOverride w:ilvl="0">
      <w:startOverride w:val="1"/>
    </w:lvlOverride>
  </w:num>
  <w:num w:numId="2" w16cid:durableId="1111362413">
    <w:abstractNumId w:val="2"/>
    <w:lvlOverride w:ilvl="0">
      <w:startOverride w:val="1"/>
    </w:lvlOverride>
  </w:num>
  <w:num w:numId="3" w16cid:durableId="1535071994">
    <w:abstractNumId w:val="3"/>
    <w:lvlOverride w:ilvl="0">
      <w:startOverride w:val="1"/>
    </w:lvlOverride>
  </w:num>
  <w:num w:numId="4" w16cid:durableId="73089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BE"/>
    <w:rsid w:val="0068252A"/>
    <w:rsid w:val="009D0CBE"/>
    <w:rsid w:val="00E6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6835"/>
  <w15:docId w15:val="{70AC7E6F-CEA4-45E1-B913-C4BD8196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Bagadiya</cp:lastModifiedBy>
  <cp:revision>2</cp:revision>
  <dcterms:created xsi:type="dcterms:W3CDTF">2026-04-29T00:49:00Z</dcterms:created>
  <dcterms:modified xsi:type="dcterms:W3CDTF">2026-04-29T02:52:00Z</dcterms:modified>
</cp:coreProperties>
</file>