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
      </w:pPr>
      <w:r>
        <w:t>DECISION INTELLIGENCE DIVISION</w:t>
      </w:r>
    </w:p>
    <w:p>
      <w:pPr>
        <w:pStyle w:val="Title"/>
      </w:pPr>
      <w:r>
        <w:t>WHAT ARE PEER BIOPHARMA COMPANIES USING?</w:t>
      </w:r>
    </w:p>
    <w:p>
      <w:r>
        <w:rPr>
          <w:b/>
          <w:color w:val="005B76"/>
          <w:sz w:val="30"/>
        </w:rPr>
        <w:t>Biological critical-reagent inventory management</w:t>
      </w:r>
    </w:p>
    <w:p>
      <w:pPr/>
      <w:r>
        <w:t>External technology adoption, platform architectures, disruptors and published evidence</w:t>
      </w:r>
    </w:p>
    <w:p>
      <w:pPr>
        <w:pStyle w:val="Small"/>
      </w:pPr>
      <w:r>
        <w:t>Manufacturing leadership briefing  |  Research cut-off: 29 October 2026</w:t>
      </w:r>
    </w:p>
    <w:tbl>
      <w:tblPr>
        <w:tblStyle w:val="TableGrid"/>
        <w:tblW w:type="auto" w:w="0"/>
        <w:tblLook w:firstColumn="1" w:firstRow="1" w:lastColumn="0" w:lastRow="0" w:noHBand="0" w:noVBand="1" w:val="04A0"/>
      </w:tblPr>
      <w:tblGrid>
        <w:gridCol w:w="9893"/>
      </w:tblGrid>
      <w:tr>
        <w:tc>
          <w:tcPr>
            <w:tcW w:type="dxa" w:w="9893"/>
            <w:shd w:fill="EDF4F6"/>
          </w:tcPr>
          <w:p>
            <w:r/>
            <w:r>
              <w:rPr>
                <w:b/>
                <w:color w:val="005B76"/>
                <w:sz w:val="20"/>
              </w:rPr>
              <w:t>Evidence-led answer</w:t>
              <w:br/>
            </w:r>
            <w:r>
              <w:rPr>
                <w:sz w:val="18"/>
              </w:rPr>
              <w:t>Public sources show several operating models, but do not establish a dominant biological critical-reagent inventory platform across the 19 specified peers. Named disclosures must be interpreted at the disclosed scope: reagent lifecycle, clinical LIMS, diagnostics inventory, compound supply, or R&amp;D informatics. [P01–P11]</w:t>
            </w:r>
          </w:p>
        </w:tc>
      </w:tr>
    </w:tbl>
    <w:p>
      <w:pPr>
        <w:spacing w:after="0"/>
      </w:pPr>
    </w:p>
    <w:p>
      <w:pPr>
        <w:pStyle w:val="Heading1"/>
      </w:pPr>
      <w:r>
        <w:t>Executive findings</w:t>
      </w:r>
    </w:p>
    <w:tbl>
      <w:tblPr>
        <w:tblStyle w:val="TableGrid"/>
        <w:tblW w:type="auto" w:w="0"/>
        <w:jc w:val="center"/>
        <w:tblLayout w:type="fixed"/>
        <w:tblLook w:firstColumn="1" w:firstRow="1" w:lastColumn="0" w:lastRow="0" w:noHBand="0" w:noVBand="1" w:val="04A0"/>
      </w:tblPr>
      <w:tblGrid>
        <w:gridCol w:w="3096"/>
        <w:gridCol w:w="6696"/>
      </w:tblGrid>
      <w:tr>
        <w:trPr>
          <w:tblHeader w:val="true"/>
        </w:trPr>
        <w:tc>
          <w:tcPr>
            <w:tcW w:type="dxa" w:w="4946"/>
            <w:vAlign w:val="center"/>
            <w:shd w:fill="173045"/>
          </w:tcPr>
          <w:p>
            <w:pPr>
              <w:spacing w:after="0" w:line="245" w:lineRule="auto"/>
            </w:pPr>
            <w:r/>
            <w:r>
              <w:rPr>
                <w:rFonts w:ascii="Aptos" w:hAnsi="Aptos"/>
                <w:b/>
                <w:color w:val="FFFFFF"/>
                <w:sz w:val="16"/>
              </w:rPr>
              <w:t>Finding</w:t>
            </w:r>
          </w:p>
        </w:tc>
        <w:tc>
          <w:tcPr>
            <w:tcW w:type="dxa" w:w="4946"/>
            <w:vAlign w:val="center"/>
            <w:shd w:fill="173045"/>
          </w:tcPr>
          <w:p>
            <w:pPr>
              <w:spacing w:after="0" w:line="245" w:lineRule="auto"/>
            </w:pPr>
            <w:r/>
            <w:r>
              <w:rPr>
                <w:rFonts w:ascii="Aptos" w:hAnsi="Aptos"/>
                <w:b/>
                <w:color w:val="FFFFFF"/>
                <w:sz w:val="16"/>
              </w:rPr>
              <w:t>Basis in published evidence</w:t>
            </w:r>
          </w:p>
        </w:tc>
      </w:tr>
      <w:tr>
        <w:trPr>
          <w:cantSplit/>
        </w:trPr>
        <w:tc>
          <w:tcPr>
            <w:tcW w:type="dxa" w:w="3096"/>
            <w:vAlign w:val="center"/>
          </w:tcPr>
          <w:p>
            <w:pPr>
              <w:spacing w:after="0" w:line="245" w:lineRule="auto"/>
            </w:pPr>
            <w:r/>
            <w:r>
              <w:rPr>
                <w:rFonts w:ascii="Aptos" w:hAnsi="Aptos"/>
                <w:b w:val="0"/>
                <w:color w:val="173045"/>
                <w:sz w:val="16"/>
              </w:rPr>
              <w:t>Dedicated and configured systems exist</w:t>
            </w:r>
          </w:p>
        </w:tc>
        <w:tc>
          <w:tcPr>
            <w:tcW w:type="dxa" w:w="6696"/>
            <w:vAlign w:val="center"/>
          </w:tcPr>
          <w:p>
            <w:pPr>
              <w:spacing w:after="0" w:line="245" w:lineRule="auto"/>
            </w:pPr>
            <w:r/>
            <w:r>
              <w:rPr>
                <w:rFonts w:ascii="Aptos" w:hAnsi="Aptos"/>
                <w:b w:val="0"/>
                <w:color w:val="173045"/>
                <w:sz w:val="16"/>
              </w:rPr>
              <w:t>Genentech described its historical CritRS; B2S published a configured LIMS + sponsor/CRO portal. [P02,R01,R02]</w:t>
            </w:r>
          </w:p>
        </w:tc>
      </w:tr>
      <w:tr>
        <w:trPr>
          <w:cantSplit/>
        </w:trPr>
        <w:tc>
          <w:tcPr>
            <w:tcW w:type="dxa" w:w="3096"/>
            <w:vAlign w:val="center"/>
            <w:shd w:fill="F0F5F7"/>
          </w:tcPr>
          <w:p>
            <w:pPr>
              <w:spacing w:after="0" w:line="245" w:lineRule="auto"/>
            </w:pPr>
            <w:r/>
            <w:r>
              <w:rPr>
                <w:rFonts w:ascii="Aptos" w:hAnsi="Aptos"/>
                <w:b w:val="0"/>
                <w:color w:val="173045"/>
                <w:sz w:val="16"/>
              </w:rPr>
              <w:t>Broader platforms are used by named peers</w:t>
            </w:r>
          </w:p>
        </w:tc>
        <w:tc>
          <w:tcPr>
            <w:tcW w:type="dxa" w:w="6696"/>
            <w:vAlign w:val="center"/>
            <w:shd w:fill="F0F5F7"/>
          </w:tcPr>
          <w:p>
            <w:pPr>
              <w:spacing w:after="0" w:line="245" w:lineRule="auto"/>
            </w:pPr>
            <w:r/>
            <w:r>
              <w:rPr>
                <w:rFonts w:ascii="Aptos" w:hAnsi="Aptos"/>
                <w:b w:val="0"/>
                <w:color w:val="173045"/>
                <w:sz w:val="16"/>
              </w:rPr>
              <w:t>Janssen/J&amp;J: LabWare LIMS/ELN (2017); Moderna: Benchling R&amp;D (2025); AstraZeneca: Mosaic compounds; Roche: Tecsys selection for diagnostics. Scope varies. [P01,P05–P07]</w:t>
            </w:r>
          </w:p>
        </w:tc>
      </w:tr>
      <w:tr>
        <w:trPr>
          <w:cantSplit/>
        </w:trPr>
        <w:tc>
          <w:tcPr>
            <w:tcW w:type="dxa" w:w="3096"/>
            <w:vAlign w:val="center"/>
          </w:tcPr>
          <w:p>
            <w:pPr>
              <w:spacing w:after="0" w:line="245" w:lineRule="auto"/>
            </w:pPr>
            <w:r/>
            <w:r>
              <w:rPr>
                <w:rFonts w:ascii="Aptos" w:hAnsi="Aptos"/>
                <w:b w:val="0"/>
                <w:color w:val="173045"/>
                <w:sz w:val="16"/>
              </w:rPr>
              <w:t>A peer documents centralized critical-reagent control without naming software</w:t>
            </w:r>
          </w:p>
        </w:tc>
        <w:tc>
          <w:tcPr>
            <w:tcW w:type="dxa" w:w="6696"/>
            <w:vAlign w:val="center"/>
          </w:tcPr>
          <w:p>
            <w:pPr>
              <w:spacing w:after="0" w:line="245" w:lineRule="auto"/>
            </w:pPr>
            <w:r/>
            <w:r>
              <w:rPr>
                <w:rFonts w:ascii="Aptos" w:hAnsi="Aptos"/>
                <w:b w:val="0"/>
                <w:color w:val="173045"/>
                <w:sz w:val="16"/>
              </w:rPr>
              <w:t>Pfizer described lifecycle management in a centralized critical-reagent inventory in a 2025 scientific-meeting biography. [P04]</w:t>
            </w:r>
          </w:p>
        </w:tc>
      </w:tr>
      <w:tr>
        <w:trPr>
          <w:cantSplit/>
        </w:trPr>
        <w:tc>
          <w:tcPr>
            <w:tcW w:type="dxa" w:w="3096"/>
            <w:vAlign w:val="center"/>
            <w:shd w:fill="F0F5F7"/>
          </w:tcPr>
          <w:p>
            <w:pPr>
              <w:spacing w:after="0" w:line="245" w:lineRule="auto"/>
            </w:pPr>
            <w:r/>
            <w:r>
              <w:rPr>
                <w:rFonts w:ascii="Aptos" w:hAnsi="Aptos"/>
                <w:b w:val="0"/>
                <w:color w:val="173045"/>
                <w:sz w:val="16"/>
              </w:rPr>
              <w:t>Broad platforms can include reagent inventory</w:t>
            </w:r>
          </w:p>
        </w:tc>
        <w:tc>
          <w:tcPr>
            <w:tcW w:type="dxa" w:w="6696"/>
            <w:vAlign w:val="center"/>
            <w:shd w:fill="F0F5F7"/>
          </w:tcPr>
          <w:p>
            <w:pPr>
              <w:spacing w:after="0" w:line="245" w:lineRule="auto"/>
            </w:pPr>
            <w:r/>
            <w:r>
              <w:rPr>
                <w:rFonts w:ascii="Aptos" w:hAnsi="Aptos"/>
                <w:b w:val="0"/>
                <w:color w:val="173045"/>
                <w:sz w:val="16"/>
              </w:rPr>
              <w:t>Veeva LIMS, LabWare, SampleManager, Benchling and SAP each document distinct materials/inventory functionality, but these functions are not interchangeable. [T01,T03–T06]</w:t>
            </w:r>
          </w:p>
        </w:tc>
      </w:tr>
      <w:tr>
        <w:trPr>
          <w:cantSplit/>
        </w:trPr>
        <w:tc>
          <w:tcPr>
            <w:tcW w:type="dxa" w:w="3096"/>
            <w:vAlign w:val="center"/>
          </w:tcPr>
          <w:p>
            <w:pPr>
              <w:spacing w:after="0" w:line="245" w:lineRule="auto"/>
            </w:pPr>
            <w:r/>
            <w:r>
              <w:rPr>
                <w:rFonts w:ascii="Aptos" w:hAnsi="Aptos"/>
                <w:b w:val="0"/>
                <w:color w:val="173045"/>
                <w:sz w:val="16"/>
              </w:rPr>
              <w:t>Peer adoption cannot be calculated from customer logos</w:t>
            </w:r>
          </w:p>
        </w:tc>
        <w:tc>
          <w:tcPr>
            <w:tcW w:type="dxa" w:w="6696"/>
            <w:vAlign w:val="center"/>
          </w:tcPr>
          <w:p>
            <w:pPr>
              <w:spacing w:after="0" w:line="245" w:lineRule="auto"/>
            </w:pPr>
            <w:r/>
            <w:r>
              <w:rPr>
                <w:rFonts w:ascii="Aptos" w:hAnsi="Aptos"/>
                <w:b w:val="0"/>
                <w:color w:val="173045"/>
                <w:sz w:val="16"/>
              </w:rPr>
            </w:r>
          </w:p>
        </w:tc>
      </w:tr>
    </w:tbl>
    <w:p>
      <w:pPr>
        <w:spacing w:after="20"/>
      </w:pPr>
    </w:p>
    <w:p>
      <w:pPr>
        <w:pStyle w:val="Heading1"/>
      </w:pPr>
      <w:r>
        <w:t>Manufacturing decision significance</w:t>
      </w:r>
    </w:p>
    <w:p>
      <w:r>
        <w:t>The market decision is an operating-model question as well as a software question: can a laboratory demonstrate that a specific lot is approved for a defined assay and available at the correct location, while preserving controlled records and linking use to QC testing? Enterprise material stock alone cannot establish assay-specific authorization. [G01,G02,T01,T04,R03]</w:t>
      </w:r>
    </w:p>
    <w:p>
      <w:pPr>
        <w:pStyle w:val="Small"/>
      </w:pPr>
      <w:r>
        <w:t>Scope boundary: Merck’s marketed portfolio and public pipeline are included as scientific context in the later pages. This report makes no assertions about Merck’s internal inventory, software deployments or capability maturity.</w:t>
      </w:r>
    </w:p>
    <w:p>
      <w:r>
        <w:br w:type="page"/>
      </w:r>
    </w:p>
    <w:p>
      <w:pPr>
        <w:pStyle w:val="Heading1"/>
      </w:pPr>
      <w:r>
        <w:t>1  |  Peer adoption: what public documentation actually establishes</w:t>
      </w:r>
    </w:p>
    <w:p>
      <w:r>
        <w:t>How to read the peer evidence: The table below describes what each public source actually establishes—such as a named system, a documented critical-reagent practice, or published reagent responsibilities. Where a specific system is not substantiated by the reviewed material, this is stated explicitly. Absence of public evidence does not mean absence of an internal system. No company maturity grades or adoption scores are assigned.</w:t>
      </w:r>
    </w:p>
    <w:p>
      <w:pPr>
        <w:pStyle w:val="Heading2"/>
      </w:pPr>
      <w:r>
        <w:t>1.1  |  High-value named cases</w:t>
      </w:r>
    </w:p>
    <w:tbl>
      <w:tblPr>
        <w:tblStyle w:val="TableGrid"/>
        <w:tblW w:type="auto" w:w="0"/>
        <w:jc w:val="center"/>
        <w:tblLayout w:type="fixed"/>
        <w:tblLook w:firstColumn="1" w:firstRow="1" w:lastColumn="0" w:lastRow="0" w:noHBand="0" w:noVBand="1" w:val="04A0"/>
      </w:tblPr>
      <w:tblGrid>
        <w:gridCol w:w="1656"/>
        <w:gridCol w:w="2088"/>
        <w:gridCol w:w="6048"/>
      </w:tblGrid>
      <w:tr>
        <w:trPr>
          <w:tblHeader w:val="true"/>
        </w:trPr>
        <w:tc>
          <w:tcPr>
            <w:tcW w:type="dxa" w:w="3298"/>
            <w:vAlign w:val="center"/>
            <w:shd w:fill="173045"/>
          </w:tcPr>
          <w:p>
            <w:pPr>
              <w:spacing w:after="0" w:line="245" w:lineRule="auto"/>
            </w:pPr>
            <w:r/>
            <w:r>
              <w:rPr>
                <w:rFonts w:ascii="Aptos" w:hAnsi="Aptos"/>
                <w:b/>
                <w:color w:val="FFFFFF"/>
                <w:sz w:val="16"/>
              </w:rPr>
              <w:t>Organization / year</w:t>
            </w:r>
          </w:p>
        </w:tc>
        <w:tc>
          <w:tcPr>
            <w:tcW w:type="dxa" w:w="3298"/>
            <w:vAlign w:val="center"/>
            <w:shd w:fill="173045"/>
          </w:tcPr>
          <w:p>
            <w:pPr>
              <w:spacing w:after="0" w:line="245" w:lineRule="auto"/>
            </w:pPr>
            <w:r/>
            <w:r>
              <w:rPr>
                <w:rFonts w:ascii="Aptos" w:hAnsi="Aptos"/>
                <w:b/>
                <w:color w:val="FFFFFF"/>
                <w:sz w:val="16"/>
              </w:rPr>
              <w:t>Named system or practice</w:t>
            </w:r>
          </w:p>
        </w:tc>
        <w:tc>
          <w:tcPr>
            <w:tcW w:type="dxa" w:w="3298"/>
            <w:vAlign w:val="center"/>
            <w:shd w:fill="173045"/>
          </w:tcPr>
          <w:p>
            <w:pPr>
              <w:spacing w:after="0" w:line="245" w:lineRule="auto"/>
            </w:pPr>
            <w:r/>
            <w:r>
              <w:rPr>
                <w:rFonts w:ascii="Aptos" w:hAnsi="Aptos"/>
                <w:b/>
                <w:color w:val="FFFFFF"/>
                <w:sz w:val="16"/>
              </w:rPr>
              <w:t>Documented scope and evidentiary limit</w:t>
            </w:r>
          </w:p>
        </w:tc>
      </w:tr>
      <w:tr>
        <w:trPr>
          <w:cantSplit/>
        </w:trPr>
        <w:tc>
          <w:tcPr>
            <w:tcW w:type="dxa" w:w="1656"/>
            <w:vAlign w:val="center"/>
          </w:tcPr>
          <w:p>
            <w:pPr>
              <w:spacing w:after="0" w:line="245" w:lineRule="auto"/>
            </w:pPr>
            <w:r/>
            <w:r>
              <w:rPr>
                <w:rFonts w:ascii="Aptos" w:hAnsi="Aptos"/>
                <w:b w:val="0"/>
                <w:color w:val="173045"/>
                <w:sz w:val="16"/>
              </w:rPr>
              <w:t>Genentech (Roche), 2011</w:t>
            </w:r>
          </w:p>
        </w:tc>
        <w:tc>
          <w:tcPr>
            <w:tcW w:type="dxa" w:w="2088"/>
            <w:vAlign w:val="center"/>
          </w:tcPr>
          <w:p>
            <w:pPr>
              <w:spacing w:after="0" w:line="245" w:lineRule="auto"/>
            </w:pPr>
            <w:r/>
            <w:r>
              <w:rPr>
                <w:rFonts w:ascii="Aptos" w:hAnsi="Aptos"/>
                <w:b w:val="0"/>
                <w:color w:val="173045"/>
                <w:sz w:val="16"/>
              </w:rPr>
              <w:t>CritRS (introduced 2004)</w:t>
            </w:r>
          </w:p>
        </w:tc>
        <w:tc>
          <w:tcPr>
            <w:tcW w:type="dxa" w:w="6048"/>
            <w:vAlign w:val="center"/>
          </w:tcPr>
          <w:p>
            <w:pPr>
              <w:spacing w:after="0" w:line="245" w:lineRule="auto"/>
            </w:pPr>
            <w:r/>
            <w:r>
              <w:rPr>
                <w:rFonts w:ascii="Aptos" w:hAnsi="Aptos"/>
                <w:b w:val="0"/>
                <w:color w:val="173045"/>
                <w:sz w:val="16"/>
              </w:rPr>
              <w:t>Ordering, manufacturing, characterization and delivery of internally generated critical protein reagents supporting GLP/GMP assays. Historical, not evidence of current deployment. [P02]</w:t>
            </w:r>
          </w:p>
        </w:tc>
      </w:tr>
      <w:tr>
        <w:trPr>
          <w:cantSplit/>
        </w:trPr>
        <w:tc>
          <w:tcPr>
            <w:tcW w:type="dxa" w:w="1656"/>
            <w:vAlign w:val="center"/>
            <w:shd w:fill="F0F5F7"/>
          </w:tcPr>
          <w:p>
            <w:pPr>
              <w:spacing w:after="0" w:line="245" w:lineRule="auto"/>
            </w:pPr>
            <w:r/>
            <w:r>
              <w:rPr>
                <w:rFonts w:ascii="Aptos" w:hAnsi="Aptos"/>
                <w:b w:val="0"/>
                <w:color w:val="173045"/>
                <w:sz w:val="16"/>
              </w:rPr>
              <w:t>Genentech (Roche), undated webinar</w:t>
            </w:r>
          </w:p>
        </w:tc>
        <w:tc>
          <w:tcPr>
            <w:tcW w:type="dxa" w:w="2088"/>
            <w:vAlign w:val="center"/>
            <w:shd w:fill="F0F5F7"/>
          </w:tcPr>
          <w:p>
            <w:pPr>
              <w:spacing w:after="0" w:line="245" w:lineRule="auto"/>
            </w:pPr>
            <w:r/>
            <w:r>
              <w:rPr>
                <w:rFonts w:ascii="Aptos" w:hAnsi="Aptos"/>
                <w:b w:val="0"/>
                <w:color w:val="173045"/>
                <w:sz w:val="16"/>
              </w:rPr>
              <w:t>Titian Mosaic</w:t>
            </w:r>
          </w:p>
        </w:tc>
        <w:tc>
          <w:tcPr>
            <w:tcW w:type="dxa" w:w="6048"/>
            <w:vAlign w:val="center"/>
            <w:shd w:fill="F0F5F7"/>
          </w:tcPr>
          <w:p>
            <w:pPr>
              <w:spacing w:after="0" w:line="245" w:lineRule="auto"/>
            </w:pPr>
            <w:r/>
            <w:r>
              <w:rPr>
                <w:rFonts w:ascii="Aptos" w:hAnsi="Aptos"/>
                <w:b w:val="0"/>
                <w:color w:val="173045"/>
                <w:sz w:val="16"/>
              </w:rPr>
              <w:t>Biologic inventory, nucleic-acid reagent libraries and protein archives as described in supplier webinar. No evidence that Mosaic replaced CritRS or manages commercial QC qualification. [P03]</w:t>
            </w:r>
          </w:p>
        </w:tc>
      </w:tr>
      <w:tr>
        <w:trPr>
          <w:cantSplit/>
        </w:trPr>
        <w:tc>
          <w:tcPr>
            <w:tcW w:type="dxa" w:w="1656"/>
            <w:vAlign w:val="center"/>
          </w:tcPr>
          <w:p>
            <w:pPr>
              <w:spacing w:after="0" w:line="245" w:lineRule="auto"/>
            </w:pPr>
            <w:r/>
            <w:r>
              <w:rPr>
                <w:rFonts w:ascii="Aptos" w:hAnsi="Aptos"/>
                <w:b w:val="0"/>
                <w:color w:val="173045"/>
                <w:sz w:val="16"/>
              </w:rPr>
              <w:t>Pfizer, 2025</w:t>
            </w:r>
          </w:p>
        </w:tc>
        <w:tc>
          <w:tcPr>
            <w:tcW w:type="dxa" w:w="2088"/>
            <w:vAlign w:val="center"/>
          </w:tcPr>
          <w:p>
            <w:pPr>
              <w:spacing w:after="0" w:line="245" w:lineRule="auto"/>
            </w:pPr>
            <w:r/>
            <w:r>
              <w:rPr>
                <w:rFonts w:ascii="Aptos" w:hAnsi="Aptos"/>
                <w:b w:val="0"/>
                <w:color w:val="173045"/>
                <w:sz w:val="16"/>
              </w:rPr>
              <w:t>Centralized critical-reagent inventory (unnamed platform)</w:t>
            </w:r>
          </w:p>
        </w:tc>
        <w:tc>
          <w:tcPr>
            <w:tcW w:type="dxa" w:w="6048"/>
            <w:vAlign w:val="center"/>
          </w:tcPr>
          <w:p>
            <w:pPr>
              <w:spacing w:after="0" w:line="245" w:lineRule="auto"/>
            </w:pPr>
            <w:r/>
            <w:r>
              <w:rPr>
                <w:rFonts w:ascii="Aptos" w:hAnsi="Aptos"/>
                <w:b w:val="0"/>
                <w:color w:val="173045"/>
                <w:sz w:val="16"/>
              </w:rPr>
              <w:t>Pfizer scientist biography describes a critical reagent group managing antibody generation, characterization and lifecycle in centralized inventory. No named application. [P04]</w:t>
            </w:r>
          </w:p>
        </w:tc>
      </w:tr>
      <w:tr>
        <w:trPr>
          <w:cantSplit/>
        </w:trPr>
        <w:tc>
          <w:tcPr>
            <w:tcW w:type="dxa" w:w="1656"/>
            <w:vAlign w:val="center"/>
            <w:shd w:fill="F0F5F7"/>
          </w:tcPr>
          <w:p>
            <w:pPr>
              <w:spacing w:after="0" w:line="245" w:lineRule="auto"/>
            </w:pPr>
            <w:r/>
            <w:r>
              <w:rPr>
                <w:rFonts w:ascii="Aptos" w:hAnsi="Aptos"/>
                <w:b w:val="0"/>
                <w:color w:val="173045"/>
                <w:sz w:val="16"/>
              </w:rPr>
              <w:t>Roche, 2025</w:t>
            </w:r>
          </w:p>
        </w:tc>
        <w:tc>
          <w:tcPr>
            <w:tcW w:type="dxa" w:w="2088"/>
            <w:vAlign w:val="center"/>
            <w:shd w:fill="F0F5F7"/>
          </w:tcPr>
          <w:p>
            <w:pPr>
              <w:spacing w:after="0" w:line="245" w:lineRule="auto"/>
            </w:pPr>
            <w:r/>
            <w:r>
              <w:rPr>
                <w:rFonts w:ascii="Aptos" w:hAnsi="Aptos"/>
                <w:b w:val="0"/>
                <w:color w:val="173045"/>
                <w:sz w:val="16"/>
              </w:rPr>
              <w:t>Tecsys Elite (selection)</w:t>
            </w:r>
          </w:p>
        </w:tc>
        <w:tc>
          <w:tcPr>
            <w:tcW w:type="dxa" w:w="6048"/>
            <w:vAlign w:val="center"/>
            <w:shd w:fill="F0F5F7"/>
          </w:tcPr>
          <w:p>
            <w:pPr>
              <w:spacing w:after="0" w:line="245" w:lineRule="auto"/>
            </w:pPr>
            <w:r/>
            <w:r>
              <w:rPr>
                <w:rFonts w:ascii="Aptos" w:hAnsi="Aptos"/>
                <w:b w:val="0"/>
                <w:color w:val="173045"/>
                <w:sz w:val="16"/>
              </w:rPr>
              <w:t>Supplier reported selection for diagnostics laboratory inventory across a planned multi-year rollout. Selection is not proof of completed implementation or pharma QC use. [P05]</w:t>
            </w:r>
          </w:p>
        </w:tc>
      </w:tr>
      <w:tr>
        <w:trPr>
          <w:cantSplit/>
        </w:trPr>
        <w:tc>
          <w:tcPr>
            <w:tcW w:type="dxa" w:w="1656"/>
            <w:vAlign w:val="center"/>
          </w:tcPr>
          <w:p>
            <w:pPr>
              <w:spacing w:after="0" w:line="245" w:lineRule="auto"/>
            </w:pPr>
            <w:r/>
            <w:r>
              <w:rPr>
                <w:rFonts w:ascii="Aptos" w:hAnsi="Aptos"/>
                <w:b w:val="0"/>
                <w:color w:val="173045"/>
                <w:sz w:val="16"/>
              </w:rPr>
              <w:t>Janssen / Johnson &amp; Johnson, 2017</w:t>
            </w:r>
          </w:p>
        </w:tc>
        <w:tc>
          <w:tcPr>
            <w:tcW w:type="dxa" w:w="2088"/>
            <w:vAlign w:val="center"/>
          </w:tcPr>
          <w:p>
            <w:pPr>
              <w:spacing w:after="0" w:line="245" w:lineRule="auto"/>
            </w:pPr>
            <w:r/>
            <w:r>
              <w:rPr>
                <w:rFonts w:ascii="Aptos" w:hAnsi="Aptos"/>
                <w:b w:val="0"/>
                <w:color w:val="173045"/>
                <w:sz w:val="16"/>
              </w:rPr>
              <w:t>LabWare LIMS v6 + ELN</w:t>
            </w:r>
          </w:p>
        </w:tc>
        <w:tc>
          <w:tcPr>
            <w:tcW w:type="dxa" w:w="6048"/>
            <w:vAlign w:val="center"/>
          </w:tcPr>
          <w:p>
            <w:pPr>
              <w:spacing w:after="0" w:line="245" w:lineRule="auto"/>
            </w:pPr>
            <w:r/>
            <w:r>
              <w:rPr>
                <w:rFonts w:ascii="Aptos" w:hAnsi="Aptos"/>
                <w:b w:val="0"/>
                <w:color w:val="173045"/>
                <w:sz w:val="16"/>
              </w:rPr>
              <w:t>Customer case study documents clinical testing, sample custody, audit trail and instrument data. Critical-reagent inventory module not identified. [P01]</w:t>
            </w:r>
          </w:p>
        </w:tc>
      </w:tr>
      <w:tr>
        <w:trPr>
          <w:cantSplit/>
        </w:trPr>
        <w:tc>
          <w:tcPr>
            <w:tcW w:type="dxa" w:w="1656"/>
            <w:vAlign w:val="center"/>
            <w:shd w:fill="F0F5F7"/>
          </w:tcPr>
          <w:p>
            <w:pPr>
              <w:spacing w:after="0" w:line="245" w:lineRule="auto"/>
            </w:pPr>
            <w:r/>
            <w:r>
              <w:rPr>
                <w:rFonts w:ascii="Aptos" w:hAnsi="Aptos"/>
                <w:b w:val="0"/>
                <w:color w:val="173045"/>
                <w:sz w:val="16"/>
              </w:rPr>
              <w:t>AstraZeneca, undated testimonial</w:t>
            </w:r>
          </w:p>
        </w:tc>
        <w:tc>
          <w:tcPr>
            <w:tcW w:type="dxa" w:w="2088"/>
            <w:vAlign w:val="center"/>
            <w:shd w:fill="F0F5F7"/>
          </w:tcPr>
          <w:p>
            <w:pPr>
              <w:spacing w:after="0" w:line="245" w:lineRule="auto"/>
            </w:pPr>
            <w:r/>
            <w:r>
              <w:rPr>
                <w:rFonts w:ascii="Aptos" w:hAnsi="Aptos"/>
                <w:b w:val="0"/>
                <w:color w:val="173045"/>
                <w:sz w:val="16"/>
              </w:rPr>
              <w:t>Titian Mosaic</w:t>
            </w:r>
          </w:p>
        </w:tc>
        <w:tc>
          <w:tcPr>
            <w:tcW w:type="dxa" w:w="6048"/>
            <w:vAlign w:val="center"/>
            <w:shd w:fill="F0F5F7"/>
          </w:tcPr>
          <w:p>
            <w:pPr>
              <w:spacing w:after="0" w:line="245" w:lineRule="auto"/>
            </w:pPr>
            <w:r/>
            <w:r>
              <w:rPr>
                <w:rFonts w:ascii="Aptos" w:hAnsi="Aptos"/>
                <w:b w:val="0"/>
                <w:color w:val="173045"/>
                <w:sz w:val="16"/>
              </w:rPr>
              <w:t>Compound ordering and robotic plate preparation. Not biological critical-reagent inventory. [P06]</w:t>
            </w:r>
          </w:p>
        </w:tc>
      </w:tr>
      <w:tr>
        <w:trPr>
          <w:cantSplit/>
        </w:trPr>
        <w:tc>
          <w:tcPr>
            <w:tcW w:type="dxa" w:w="1656"/>
            <w:vAlign w:val="center"/>
          </w:tcPr>
          <w:p>
            <w:pPr>
              <w:spacing w:after="0" w:line="245" w:lineRule="auto"/>
            </w:pPr>
            <w:r/>
            <w:r>
              <w:rPr>
                <w:rFonts w:ascii="Aptos" w:hAnsi="Aptos"/>
                <w:b w:val="0"/>
                <w:color w:val="173045"/>
                <w:sz w:val="16"/>
              </w:rPr>
              <w:t>Moderna, 2025</w:t>
            </w:r>
          </w:p>
        </w:tc>
        <w:tc>
          <w:tcPr>
            <w:tcW w:type="dxa" w:w="2088"/>
            <w:vAlign w:val="center"/>
          </w:tcPr>
          <w:p>
            <w:pPr>
              <w:spacing w:after="0" w:line="245" w:lineRule="auto"/>
            </w:pPr>
            <w:r/>
            <w:r>
              <w:rPr>
                <w:rFonts w:ascii="Aptos" w:hAnsi="Aptos"/>
                <w:b w:val="0"/>
                <w:color w:val="173045"/>
                <w:sz w:val="16"/>
              </w:rPr>
              <w:t>Benchling</w:t>
            </w:r>
          </w:p>
        </w:tc>
        <w:tc>
          <w:tcPr>
            <w:tcW w:type="dxa" w:w="6048"/>
            <w:vAlign w:val="center"/>
          </w:tcPr>
          <w:p>
            <w:pPr>
              <w:spacing w:after="0" w:line="245" w:lineRule="auto"/>
            </w:pPr>
            <w:r/>
            <w:r>
              <w:rPr>
                <w:rFonts w:ascii="Aptos" w:hAnsi="Aptos"/>
                <w:b w:val="0"/>
                <w:color w:val="173045"/>
                <w:sz w:val="16"/>
              </w:rPr>
              <w:t>R&amp;D and technical-development digital platform relationship. Specific critical-reagent inventory usage not disclosed. [P07]</w:t>
            </w:r>
          </w:p>
        </w:tc>
      </w:tr>
    </w:tbl>
    <w:p>
      <w:pPr>
        <w:spacing w:after="20"/>
      </w:pPr>
    </w:p>
    <w:p>
      <w:pPr>
        <w:pStyle w:val="Heading2"/>
      </w:pPr>
      <w:r>
        <w:t>1.2  |  Main conclusion</w:t>
      </w:r>
    </w:p>
    <w:p>
      <w:r>
        <w:t>Within the 19 requested peers, the reviewed sources identify four named but differently scoped platform cases (J&amp;J, Roche, AstraZeneca and Moderna), one centralized critical-reagent practice without disclosed software (Pfizer), three published operational-role descriptions (Gilead, Sanofi and Regeneron), and eleven without comparable named critical-reagent software evidence. These are counts of disclosed evidence, not software adoption rates. Historical Genentech cases provide additional dedicated critical-reagent and biological inventory examples. The evidence does not establish a dominant system among the 19 peers. [P01–P11,R01,R02]</w:t>
      </w:r>
    </w:p>
    <w:p>
      <w:r>
        <w:br w:type="page"/>
      </w:r>
    </w:p>
    <w:p>
      <w:pPr>
        <w:pStyle w:val="Heading1"/>
      </w:pPr>
      <w:r>
        <w:t>2  |  Nineteen-company peer evidence matrix</w:t>
      </w:r>
    </w:p>
    <w:p>
      <w:r>
        <w:t>Each entry identifies the documented technology or operating practice and limits the statement to the source’s disclosed setting and date. Named customer relationships, vendor features and public role descriptions do not establish use of a qualified biological critical-reagent inventory module unless explicitly stated by the source.</w:t>
      </w:r>
    </w:p>
    <w:tbl>
      <w:tblPr>
        <w:tblStyle w:val="TableGrid"/>
        <w:tblW w:type="auto" w:w="0"/>
        <w:jc w:val="center"/>
        <w:tblLayout w:type="fixed"/>
        <w:tblLook w:firstColumn="1" w:firstRow="1" w:lastColumn="0" w:lastRow="0" w:noHBand="0" w:noVBand="1" w:val="04A0"/>
      </w:tblPr>
      <w:tblGrid>
        <w:gridCol w:w="2232"/>
        <w:gridCol w:w="6365"/>
        <w:gridCol w:w="1195"/>
      </w:tblGrid>
      <w:tr>
        <w:trPr>
          <w:tblHeader w:val="true"/>
          <w:tblHeader w:val="true"/>
        </w:trPr>
        <w:tc>
          <w:tcPr>
            <w:tcW w:type="dxa" w:w="2232"/>
            <w:vAlign w:val="center"/>
            <w:shd w:fill="173045"/>
          </w:tcPr>
          <w:p>
            <w:r>
              <w:rPr>
                <w:b/>
                <w:color w:val="FFFFFF"/>
                <w:sz w:val="16"/>
              </w:rPr>
              <w:t>Peer company</w:t>
            </w:r>
          </w:p>
        </w:tc>
        <w:tc>
          <w:tcPr>
            <w:tcW w:type="dxa" w:w="6365"/>
            <w:vAlign w:val="center"/>
            <w:shd w:fill="173045"/>
          </w:tcPr>
          <w:p>
            <w:r>
              <w:rPr>
                <w:b/>
                <w:color w:val="FFFFFF"/>
                <w:sz w:val="16"/>
              </w:rPr>
              <w:t>Publicly documented system / practice and evidence scope</w:t>
            </w:r>
          </w:p>
        </w:tc>
        <w:tc>
          <w:tcPr>
            <w:tcW w:type="dxa" w:w="1195"/>
            <w:vAlign w:val="center"/>
            <w:shd w:fill="173045"/>
          </w:tcPr>
          <w:p>
            <w:r>
              <w:rPr>
                <w:b/>
                <w:color w:val="FFFFFF"/>
                <w:sz w:val="16"/>
              </w:rPr>
              <w:t>Sources</w:t>
            </w:r>
          </w:p>
        </w:tc>
      </w:tr>
      <w:tr>
        <w:trPr>
          <w:cantSplit/>
        </w:trPr>
        <w:tc>
          <w:tcPr>
            <w:tcW w:type="dxa" w:w="2232"/>
            <w:vAlign w:val="center"/>
          </w:tcPr>
          <w:p>
            <w:pPr>
              <w:spacing w:after="0" w:line="245" w:lineRule="auto"/>
            </w:pPr>
            <w:r/>
            <w:r>
              <w:rPr>
                <w:rFonts w:ascii="Aptos" w:hAnsi="Aptos"/>
                <w:b w:val="0"/>
                <w:color w:val="173045"/>
                <w:sz w:val="16"/>
              </w:rPr>
              <w:t>Eli Lilly and Company</w:t>
            </w:r>
          </w:p>
        </w:tc>
        <w:tc>
          <w:tcPr>
            <w:tcW w:type="dxa" w:w="6365"/>
            <w:vAlign w:val="center"/>
          </w:tcPr>
          <w:p>
            <w:pPr>
              <w:spacing w:after="0" w:line="245" w:lineRule="auto"/>
            </w:pPr>
            <w:r/>
            <w:r>
              <w:rPr>
                <w:rFonts w:ascii="Aptos" w:hAnsi="Aptos"/>
                <w:b w:val="0"/>
                <w:color w:val="173045"/>
                <w:sz w:val="16"/>
              </w:rPr>
              <w:t>No named critical-reagent inventory deployment substantiated in reviewed public source set.</w:t>
            </w:r>
          </w:p>
        </w:tc>
        <w:tc>
          <w:tcPr>
            <w:tcW w:type="dxa" w:w="1195"/>
            <w:vAlign w:val="center"/>
          </w:tcPr>
          <w:p>
            <w:pPr>
              <w:spacing w:after="0" w:line="245" w:lineRule="auto"/>
            </w:pPr>
            <w:r/>
            <w:r>
              <w:rPr>
                <w:rFonts w:ascii="Aptos" w:hAnsi="Aptos"/>
                <w:b w:val="0"/>
                <w:color w:val="173045"/>
                <w:sz w:val="16"/>
              </w:rPr>
              <w:t>—</w:t>
            </w:r>
          </w:p>
        </w:tc>
      </w:tr>
      <w:tr>
        <w:trPr>
          <w:cantSplit/>
        </w:trPr>
        <w:tc>
          <w:tcPr>
            <w:tcW w:type="dxa" w:w="2232"/>
            <w:vAlign w:val="center"/>
            <w:shd w:fill="F0F5F7"/>
          </w:tcPr>
          <w:p>
            <w:pPr>
              <w:spacing w:after="0" w:line="245" w:lineRule="auto"/>
            </w:pPr>
            <w:r/>
            <w:r>
              <w:rPr>
                <w:rFonts w:ascii="Aptos" w:hAnsi="Aptos"/>
                <w:b w:val="0"/>
                <w:color w:val="173045"/>
                <w:sz w:val="16"/>
              </w:rPr>
              <w:t>Johnson &amp; Johnson</w:t>
            </w:r>
          </w:p>
        </w:tc>
        <w:tc>
          <w:tcPr>
            <w:tcW w:type="dxa" w:w="6365"/>
            <w:vAlign w:val="center"/>
            <w:shd w:fill="F0F5F7"/>
          </w:tcPr>
          <w:p>
            <w:pPr>
              <w:spacing w:after="0" w:line="245" w:lineRule="auto"/>
            </w:pPr>
            <w:r/>
            <w:r>
              <w:rPr>
                <w:rFonts w:ascii="Aptos" w:hAnsi="Aptos"/>
                <w:b w:val="0"/>
                <w:color w:val="173045"/>
                <w:sz w:val="16"/>
              </w:rPr>
              <w:t>Janssen clinical-testing lab: LabWare LIMS v6 and ELN; case study published 2017. Reagent module not evidenced.</w:t>
            </w:r>
          </w:p>
        </w:tc>
        <w:tc>
          <w:tcPr>
            <w:tcW w:type="dxa" w:w="1195"/>
            <w:vAlign w:val="center"/>
            <w:shd w:fill="F0F5F7"/>
          </w:tcPr>
          <w:p>
            <w:pPr>
              <w:spacing w:after="0" w:line="245" w:lineRule="auto"/>
            </w:pPr>
            <w:r/>
            <w:r>
              <w:rPr>
                <w:rFonts w:ascii="Aptos" w:hAnsi="Aptos"/>
                <w:b w:val="0"/>
                <w:color w:val="173045"/>
                <w:sz w:val="16"/>
              </w:rPr>
              <w:t>P01</w:t>
            </w:r>
          </w:p>
        </w:tc>
      </w:tr>
      <w:tr>
        <w:trPr>
          <w:cantSplit/>
        </w:trPr>
        <w:tc>
          <w:tcPr>
            <w:tcW w:type="dxa" w:w="2232"/>
            <w:vAlign w:val="center"/>
          </w:tcPr>
          <w:p>
            <w:pPr>
              <w:spacing w:after="0" w:line="245" w:lineRule="auto"/>
            </w:pPr>
            <w:r/>
            <w:r>
              <w:rPr>
                <w:rFonts w:ascii="Aptos" w:hAnsi="Aptos"/>
                <w:b w:val="0"/>
                <w:color w:val="173045"/>
                <w:sz w:val="16"/>
              </w:rPr>
              <w:t>AbbVie</w:t>
            </w:r>
          </w:p>
        </w:tc>
        <w:tc>
          <w:tcPr>
            <w:tcW w:type="dxa" w:w="6365"/>
            <w:vAlign w:val="center"/>
          </w:tcPr>
          <w:p>
            <w:pPr>
              <w:spacing w:after="0" w:line="245" w:lineRule="auto"/>
            </w:pPr>
            <w:r/>
            <w:r>
              <w:rPr>
                <w:rFonts w:ascii="Aptos" w:hAnsi="Aptos"/>
                <w:b w:val="0"/>
                <w:color w:val="173045"/>
                <w:sz w:val="16"/>
              </w:rPr>
            </w:r>
          </w:p>
        </w:tc>
        <w:tc>
          <w:tcPr>
            <w:tcW w:type="dxa" w:w="1195"/>
            <w:vAlign w:val="center"/>
          </w:tcPr>
          <w:p>
            <w:pPr>
              <w:spacing w:after="0" w:line="245" w:lineRule="auto"/>
            </w:pPr>
            <w:r/>
            <w:r>
              <w:rPr>
                <w:rFonts w:ascii="Aptos" w:hAnsi="Aptos"/>
                <w:b w:val="0"/>
                <w:color w:val="173045"/>
                <w:sz w:val="16"/>
              </w:rPr>
              <w:t>—</w:t>
            </w:r>
          </w:p>
        </w:tc>
      </w:tr>
      <w:tr>
        <w:trPr>
          <w:cantSplit/>
        </w:trPr>
        <w:tc>
          <w:tcPr>
            <w:tcW w:type="dxa" w:w="2232"/>
            <w:vAlign w:val="center"/>
            <w:shd w:fill="F0F5F7"/>
          </w:tcPr>
          <w:p>
            <w:pPr>
              <w:spacing w:after="0" w:line="245" w:lineRule="auto"/>
            </w:pPr>
            <w:r/>
            <w:r>
              <w:rPr>
                <w:rFonts w:ascii="Aptos" w:hAnsi="Aptos"/>
                <w:b w:val="0"/>
                <w:color w:val="173045"/>
                <w:sz w:val="16"/>
              </w:rPr>
              <w:t>Roche Holding</w:t>
            </w:r>
          </w:p>
        </w:tc>
        <w:tc>
          <w:tcPr>
            <w:tcW w:type="dxa" w:w="6365"/>
            <w:vAlign w:val="center"/>
            <w:shd w:fill="F0F5F7"/>
          </w:tcPr>
          <w:p>
            <w:pPr>
              <w:spacing w:after="0" w:line="245" w:lineRule="auto"/>
            </w:pPr>
            <w:r/>
            <w:r>
              <w:rPr>
                <w:rFonts w:ascii="Aptos" w:hAnsi="Aptos"/>
                <w:b w:val="0"/>
                <w:color w:val="173045"/>
                <w:sz w:val="16"/>
              </w:rPr>
              <w:t>Tecsys Elite selected for diagnostics laboratory inventory (2025); Genentech historic CritRS and separate Mosaic biological archive case.</w:t>
            </w:r>
          </w:p>
        </w:tc>
        <w:tc>
          <w:tcPr>
            <w:tcW w:type="dxa" w:w="1195"/>
            <w:vAlign w:val="center"/>
            <w:shd w:fill="F0F5F7"/>
          </w:tcPr>
          <w:p>
            <w:pPr>
              <w:spacing w:after="0" w:line="245" w:lineRule="auto"/>
            </w:pPr>
            <w:r/>
            <w:r>
              <w:rPr>
                <w:rFonts w:ascii="Aptos" w:hAnsi="Aptos"/>
                <w:b w:val="0"/>
                <w:color w:val="173045"/>
                <w:sz w:val="16"/>
              </w:rPr>
              <w:t>P02,P03,P05</w:t>
            </w:r>
          </w:p>
        </w:tc>
      </w:tr>
      <w:tr>
        <w:trPr>
          <w:cantSplit/>
        </w:trPr>
        <w:tc>
          <w:tcPr>
            <w:tcW w:type="dxa" w:w="2232"/>
            <w:vAlign w:val="center"/>
          </w:tcPr>
          <w:p>
            <w:pPr>
              <w:spacing w:after="0" w:line="245" w:lineRule="auto"/>
            </w:pPr>
            <w:r/>
            <w:r>
              <w:rPr>
                <w:rFonts w:ascii="Aptos" w:hAnsi="Aptos"/>
                <w:b w:val="0"/>
                <w:color w:val="173045"/>
                <w:sz w:val="16"/>
              </w:rPr>
              <w:t>Novartis</w:t>
            </w:r>
          </w:p>
        </w:tc>
        <w:tc>
          <w:tcPr>
            <w:tcW w:type="dxa" w:w="6365"/>
            <w:vAlign w:val="center"/>
          </w:tcPr>
          <w:p>
            <w:pPr>
              <w:spacing w:after="0" w:line="245" w:lineRule="auto"/>
            </w:pPr>
            <w:r/>
            <w:r>
              <w:rPr>
                <w:rFonts w:ascii="Aptos" w:hAnsi="Aptos"/>
                <w:b w:val="0"/>
                <w:color w:val="173045"/>
                <w:sz w:val="16"/>
              </w:rPr>
              <w:t>No qualified-reagent module deployment substantiated; LabWare uses company logo on supplier page only.</w:t>
            </w:r>
          </w:p>
        </w:tc>
        <w:tc>
          <w:tcPr>
            <w:tcW w:type="dxa" w:w="1195"/>
            <w:vAlign w:val="center"/>
          </w:tcPr>
          <w:p>
            <w:pPr>
              <w:spacing w:after="0" w:line="245" w:lineRule="auto"/>
            </w:pPr>
            <w:r/>
            <w:r>
              <w:rPr>
                <w:rFonts w:ascii="Aptos" w:hAnsi="Aptos"/>
                <w:b w:val="0"/>
                <w:color w:val="173045"/>
                <w:sz w:val="16"/>
              </w:rPr>
              <w:t>P11</w:t>
            </w:r>
          </w:p>
        </w:tc>
      </w:tr>
      <w:tr>
        <w:trPr>
          <w:cantSplit/>
        </w:trPr>
        <w:tc>
          <w:tcPr>
            <w:tcW w:type="dxa" w:w="2232"/>
            <w:vAlign w:val="center"/>
            <w:shd w:fill="F0F5F7"/>
          </w:tcPr>
          <w:p>
            <w:pPr>
              <w:spacing w:after="0" w:line="245" w:lineRule="auto"/>
            </w:pPr>
            <w:r/>
            <w:r>
              <w:rPr>
                <w:rFonts w:ascii="Aptos" w:hAnsi="Aptos"/>
                <w:b w:val="0"/>
                <w:color w:val="173045"/>
                <w:sz w:val="16"/>
              </w:rPr>
              <w:t>AstraZeneca</w:t>
            </w:r>
          </w:p>
        </w:tc>
        <w:tc>
          <w:tcPr>
            <w:tcW w:type="dxa" w:w="6365"/>
            <w:vAlign w:val="center"/>
            <w:shd w:fill="F0F5F7"/>
          </w:tcPr>
          <w:p>
            <w:pPr>
              <w:spacing w:after="0" w:line="245" w:lineRule="auto"/>
            </w:pPr>
            <w:r/>
            <w:r>
              <w:rPr>
                <w:rFonts w:ascii="Aptos" w:hAnsi="Aptos"/>
                <w:b w:val="0"/>
                <w:color w:val="173045"/>
                <w:sz w:val="16"/>
              </w:rPr>
              <w:t>Mosaic customer example covers compound ordering and robotics, not BCR management.</w:t>
            </w:r>
          </w:p>
        </w:tc>
        <w:tc>
          <w:tcPr>
            <w:tcW w:type="dxa" w:w="1195"/>
            <w:vAlign w:val="center"/>
            <w:shd w:fill="F0F5F7"/>
          </w:tcPr>
          <w:p>
            <w:pPr>
              <w:spacing w:after="0" w:line="245" w:lineRule="auto"/>
            </w:pPr>
            <w:r/>
            <w:r>
              <w:rPr>
                <w:rFonts w:ascii="Aptos" w:hAnsi="Aptos"/>
                <w:b w:val="0"/>
                <w:color w:val="173045"/>
                <w:sz w:val="16"/>
              </w:rPr>
              <w:t>P06</w:t>
            </w:r>
          </w:p>
        </w:tc>
      </w:tr>
      <w:tr>
        <w:trPr>
          <w:cantSplit/>
        </w:trPr>
        <w:tc>
          <w:tcPr>
            <w:tcW w:type="dxa" w:w="2232"/>
            <w:vAlign w:val="center"/>
          </w:tcPr>
          <w:p>
            <w:pPr>
              <w:spacing w:after="0" w:line="245" w:lineRule="auto"/>
            </w:pPr>
            <w:r/>
            <w:r>
              <w:rPr>
                <w:rFonts w:ascii="Aptos" w:hAnsi="Aptos"/>
                <w:b w:val="0"/>
                <w:color w:val="173045"/>
                <w:sz w:val="16"/>
              </w:rPr>
              <w:t>Amgen</w:t>
            </w:r>
          </w:p>
        </w:tc>
        <w:tc>
          <w:tcPr>
            <w:tcW w:type="dxa" w:w="6365"/>
            <w:vAlign w:val="center"/>
          </w:tcPr>
          <w:p>
            <w:pPr>
              <w:spacing w:after="0" w:line="245" w:lineRule="auto"/>
            </w:pPr>
            <w:r/>
            <w:r>
              <w:rPr>
                <w:rFonts w:ascii="Aptos" w:hAnsi="Aptos"/>
                <w:b w:val="0"/>
                <w:color w:val="173045"/>
                <w:sz w:val="16"/>
              </w:rPr>
              <w:t>No named BCR inventory software adoption substantiated in reviewed source set.</w:t>
            </w:r>
          </w:p>
        </w:tc>
        <w:tc>
          <w:tcPr>
            <w:tcW w:type="dxa" w:w="1195"/>
            <w:vAlign w:val="center"/>
          </w:tcPr>
          <w:p>
            <w:pPr>
              <w:spacing w:after="0" w:line="245" w:lineRule="auto"/>
            </w:pPr>
            <w:r/>
            <w:r>
              <w:rPr>
                <w:rFonts w:ascii="Aptos" w:hAnsi="Aptos"/>
                <w:b w:val="0"/>
                <w:color w:val="173045"/>
                <w:sz w:val="16"/>
              </w:rPr>
              <w:t>—</w:t>
            </w:r>
          </w:p>
        </w:tc>
      </w:tr>
      <w:tr>
        <w:trPr>
          <w:cantSplit/>
        </w:trPr>
        <w:tc>
          <w:tcPr>
            <w:tcW w:type="dxa" w:w="2232"/>
            <w:vAlign w:val="center"/>
            <w:shd w:fill="F0F5F7"/>
          </w:tcPr>
          <w:p>
            <w:pPr>
              <w:spacing w:after="0" w:line="245" w:lineRule="auto"/>
            </w:pPr>
            <w:r/>
            <w:r>
              <w:rPr>
                <w:rFonts w:ascii="Aptos" w:hAnsi="Aptos"/>
                <w:b w:val="0"/>
                <w:color w:val="173045"/>
                <w:sz w:val="16"/>
              </w:rPr>
              <w:t>Gilead Sciences</w:t>
            </w:r>
          </w:p>
        </w:tc>
        <w:tc>
          <w:tcPr>
            <w:tcW w:type="dxa" w:w="6365"/>
            <w:vAlign w:val="center"/>
            <w:shd w:fill="F0F5F7"/>
          </w:tcPr>
          <w:p>
            <w:pPr>
              <w:spacing w:after="0" w:line="245" w:lineRule="auto"/>
            </w:pPr>
            <w:r/>
            <w:r>
              <w:rPr>
                <w:rFonts w:ascii="Aptos" w:hAnsi="Aptos"/>
                <w:b w:val="0"/>
                <w:color w:val="173045"/>
                <w:sz w:val="16"/>
              </w:rPr>
            </w:r>
          </w:p>
        </w:tc>
        <w:tc>
          <w:tcPr>
            <w:tcW w:type="dxa" w:w="1195"/>
            <w:vAlign w:val="center"/>
            <w:shd w:fill="F0F5F7"/>
          </w:tcPr>
          <w:p>
            <w:pPr>
              <w:spacing w:after="0" w:line="245" w:lineRule="auto"/>
            </w:pPr>
            <w:r/>
            <w:r>
              <w:rPr>
                <w:rFonts w:ascii="Aptos" w:hAnsi="Aptos"/>
                <w:b w:val="0"/>
                <w:color w:val="173045"/>
                <w:sz w:val="16"/>
              </w:rPr>
              <w:t>P08,P11</w:t>
            </w:r>
          </w:p>
        </w:tc>
      </w:tr>
      <w:tr>
        <w:trPr>
          <w:cantSplit/>
        </w:trPr>
        <w:tc>
          <w:tcPr>
            <w:tcW w:type="dxa" w:w="2232"/>
            <w:vAlign w:val="center"/>
          </w:tcPr>
          <w:p>
            <w:pPr>
              <w:spacing w:after="0" w:line="245" w:lineRule="auto"/>
            </w:pPr>
            <w:r/>
            <w:r>
              <w:rPr>
                <w:rFonts w:ascii="Aptos" w:hAnsi="Aptos"/>
                <w:b w:val="0"/>
                <w:color w:val="173045"/>
                <w:sz w:val="16"/>
              </w:rPr>
              <w:t>Novo Nordisk</w:t>
            </w:r>
          </w:p>
        </w:tc>
        <w:tc>
          <w:tcPr>
            <w:tcW w:type="dxa" w:w="6365"/>
            <w:vAlign w:val="center"/>
          </w:tcPr>
          <w:p>
            <w:pPr>
              <w:spacing w:after="0" w:line="245" w:lineRule="auto"/>
            </w:pPr>
            <w:r/>
            <w:r>
              <w:rPr>
                <w:rFonts w:ascii="Aptos" w:hAnsi="Aptos"/>
                <w:b w:val="0"/>
                <w:color w:val="173045"/>
                <w:sz w:val="16"/>
              </w:rPr>
              <w:t>No named biological critical-reagent software adoption substantiated in reviewed source set.</w:t>
            </w:r>
          </w:p>
        </w:tc>
        <w:tc>
          <w:tcPr>
            <w:tcW w:type="dxa" w:w="1195"/>
            <w:vAlign w:val="center"/>
          </w:tcPr>
          <w:p>
            <w:pPr>
              <w:spacing w:after="0" w:line="245" w:lineRule="auto"/>
            </w:pPr>
            <w:r/>
            <w:r>
              <w:rPr>
                <w:rFonts w:ascii="Aptos" w:hAnsi="Aptos"/>
                <w:b w:val="0"/>
                <w:color w:val="173045"/>
                <w:sz w:val="16"/>
              </w:rPr>
              <w:t>—</w:t>
            </w:r>
          </w:p>
        </w:tc>
      </w:tr>
      <w:tr>
        <w:trPr>
          <w:cantSplit/>
        </w:trPr>
        <w:tc>
          <w:tcPr>
            <w:tcW w:type="dxa" w:w="2232"/>
            <w:vAlign w:val="center"/>
            <w:shd w:fill="F0F5F7"/>
          </w:tcPr>
          <w:p>
            <w:pPr>
              <w:spacing w:after="0" w:line="245" w:lineRule="auto"/>
            </w:pPr>
            <w:r/>
            <w:r>
              <w:rPr>
                <w:rFonts w:ascii="Aptos" w:hAnsi="Aptos"/>
                <w:b w:val="0"/>
                <w:color w:val="173045"/>
                <w:sz w:val="16"/>
              </w:rPr>
              <w:t>Pfizer</w:t>
            </w:r>
          </w:p>
        </w:tc>
        <w:tc>
          <w:tcPr>
            <w:tcW w:type="dxa" w:w="6365"/>
            <w:vAlign w:val="center"/>
            <w:shd w:fill="F0F5F7"/>
          </w:tcPr>
          <w:p>
            <w:pPr>
              <w:spacing w:after="0" w:line="245" w:lineRule="auto"/>
            </w:pPr>
            <w:r/>
            <w:r>
              <w:rPr>
                <w:rFonts w:ascii="Aptos" w:hAnsi="Aptos"/>
                <w:b w:val="0"/>
                <w:color w:val="173045"/>
                <w:sz w:val="16"/>
              </w:rPr>
              <w:t>Centralized critical-reagent inventory, platform undisclosed (2025); vendor LabWare logo does not establish inventory module.</w:t>
            </w:r>
          </w:p>
        </w:tc>
        <w:tc>
          <w:tcPr>
            <w:tcW w:type="dxa" w:w="1195"/>
            <w:vAlign w:val="center"/>
            <w:shd w:fill="F0F5F7"/>
          </w:tcPr>
          <w:p>
            <w:pPr>
              <w:spacing w:after="0" w:line="245" w:lineRule="auto"/>
            </w:pPr>
            <w:r/>
            <w:r>
              <w:rPr>
                <w:rFonts w:ascii="Aptos" w:hAnsi="Aptos"/>
                <w:b w:val="0"/>
                <w:color w:val="173045"/>
                <w:sz w:val="16"/>
              </w:rPr>
              <w:t>P04,P11</w:t>
            </w:r>
          </w:p>
        </w:tc>
      </w:tr>
      <w:tr>
        <w:trPr>
          <w:cantSplit/>
        </w:trPr>
        <w:tc>
          <w:tcPr>
            <w:tcW w:type="dxa" w:w="2232"/>
            <w:vAlign w:val="center"/>
          </w:tcPr>
          <w:p>
            <w:pPr>
              <w:spacing w:after="0" w:line="245" w:lineRule="auto"/>
            </w:pPr>
            <w:r/>
            <w:r>
              <w:rPr>
                <w:rFonts w:ascii="Aptos" w:hAnsi="Aptos"/>
                <w:b w:val="0"/>
                <w:color w:val="173045"/>
                <w:sz w:val="16"/>
              </w:rPr>
              <w:t>Vertex Pharmaceuticals</w:t>
            </w:r>
          </w:p>
        </w:tc>
        <w:tc>
          <w:tcPr>
            <w:tcW w:type="dxa" w:w="6365"/>
            <w:vAlign w:val="center"/>
          </w:tcPr>
          <w:p>
            <w:pPr>
              <w:spacing w:after="0" w:line="245" w:lineRule="auto"/>
            </w:pPr>
            <w:r/>
            <w:r>
              <w:rPr>
                <w:rFonts w:ascii="Aptos" w:hAnsi="Aptos"/>
                <w:b w:val="0"/>
                <w:color w:val="173045"/>
                <w:sz w:val="16"/>
              </w:rPr>
              <w:t>No named critical-reagent inventory platform substantiated in reviewed source set.</w:t>
            </w:r>
          </w:p>
        </w:tc>
        <w:tc>
          <w:tcPr>
            <w:tcW w:type="dxa" w:w="1195"/>
            <w:vAlign w:val="center"/>
          </w:tcPr>
          <w:p>
            <w:pPr>
              <w:spacing w:after="0" w:line="245" w:lineRule="auto"/>
            </w:pPr>
            <w:r/>
            <w:r>
              <w:rPr>
                <w:rFonts w:ascii="Aptos" w:hAnsi="Aptos"/>
                <w:b w:val="0"/>
                <w:color w:val="173045"/>
                <w:sz w:val="16"/>
              </w:rPr>
              <w:t>—</w:t>
            </w:r>
          </w:p>
        </w:tc>
      </w:tr>
      <w:tr>
        <w:trPr>
          <w:cantSplit/>
        </w:trPr>
        <w:tc>
          <w:tcPr>
            <w:tcW w:type="dxa" w:w="2232"/>
            <w:vAlign w:val="center"/>
            <w:shd w:fill="F0F5F7"/>
          </w:tcPr>
          <w:p>
            <w:pPr>
              <w:spacing w:after="0" w:line="245" w:lineRule="auto"/>
            </w:pPr>
            <w:r/>
            <w:r>
              <w:rPr>
                <w:rFonts w:ascii="Aptos" w:hAnsi="Aptos"/>
                <w:b w:val="0"/>
                <w:color w:val="173045"/>
                <w:sz w:val="16"/>
              </w:rPr>
              <w:t>Bristol Myers Squibb</w:t>
            </w:r>
          </w:p>
        </w:tc>
        <w:tc>
          <w:tcPr>
            <w:tcW w:type="dxa" w:w="6365"/>
            <w:vAlign w:val="center"/>
            <w:shd w:fill="F0F5F7"/>
          </w:tcPr>
          <w:p>
            <w:pPr>
              <w:spacing w:after="0" w:line="245" w:lineRule="auto"/>
            </w:pPr>
            <w:r/>
            <w:r>
              <w:rPr>
                <w:rFonts w:ascii="Aptos" w:hAnsi="Aptos"/>
                <w:b w:val="0"/>
                <w:color w:val="173045"/>
                <w:sz w:val="16"/>
              </w:rPr>
              <w:t>No module-specific adoption substantiated; LabWare supplier logo is insufficient.</w:t>
            </w:r>
          </w:p>
        </w:tc>
        <w:tc>
          <w:tcPr>
            <w:tcW w:type="dxa" w:w="1195"/>
            <w:vAlign w:val="center"/>
            <w:shd w:fill="F0F5F7"/>
          </w:tcPr>
          <w:p>
            <w:pPr>
              <w:spacing w:after="0" w:line="245" w:lineRule="auto"/>
            </w:pPr>
            <w:r/>
            <w:r>
              <w:rPr>
                <w:rFonts w:ascii="Aptos" w:hAnsi="Aptos"/>
                <w:b w:val="0"/>
                <w:color w:val="173045"/>
                <w:sz w:val="16"/>
              </w:rPr>
              <w:t>P11</w:t>
            </w:r>
          </w:p>
        </w:tc>
      </w:tr>
      <w:tr>
        <w:trPr>
          <w:cantSplit/>
        </w:trPr>
        <w:tc>
          <w:tcPr>
            <w:tcW w:type="dxa" w:w="2232"/>
            <w:vAlign w:val="center"/>
          </w:tcPr>
          <w:p>
            <w:pPr>
              <w:spacing w:after="0" w:line="245" w:lineRule="auto"/>
            </w:pPr>
            <w:r/>
            <w:r>
              <w:rPr>
                <w:rFonts w:ascii="Aptos" w:hAnsi="Aptos"/>
                <w:b w:val="0"/>
                <w:color w:val="173045"/>
                <w:sz w:val="16"/>
              </w:rPr>
              <w:t>GSK</w:t>
            </w:r>
          </w:p>
        </w:tc>
        <w:tc>
          <w:tcPr>
            <w:tcW w:type="dxa" w:w="6365"/>
            <w:vAlign w:val="center"/>
          </w:tcPr>
          <w:p>
            <w:pPr>
              <w:spacing w:after="0" w:line="245" w:lineRule="auto"/>
            </w:pPr>
            <w:r/>
            <w:r>
              <w:rPr>
                <w:rFonts w:ascii="Aptos" w:hAnsi="Aptos"/>
                <w:b w:val="0"/>
                <w:color w:val="173045"/>
                <w:sz w:val="16"/>
              </w:rPr>
              <w:t>No module-specific adoption substantiated; LabWare supplier logo is insufficient.</w:t>
            </w:r>
          </w:p>
        </w:tc>
        <w:tc>
          <w:tcPr>
            <w:tcW w:type="dxa" w:w="1195"/>
            <w:vAlign w:val="center"/>
          </w:tcPr>
          <w:p>
            <w:pPr>
              <w:spacing w:after="0" w:line="245" w:lineRule="auto"/>
            </w:pPr>
            <w:r/>
            <w:r>
              <w:rPr>
                <w:rFonts w:ascii="Aptos" w:hAnsi="Aptos"/>
                <w:b w:val="0"/>
                <w:color w:val="173045"/>
                <w:sz w:val="16"/>
              </w:rPr>
              <w:t>P11</w:t>
            </w:r>
          </w:p>
        </w:tc>
      </w:tr>
      <w:tr>
        <w:trPr>
          <w:cantSplit/>
        </w:trPr>
        <w:tc>
          <w:tcPr>
            <w:tcW w:type="dxa" w:w="2232"/>
            <w:vAlign w:val="center"/>
            <w:shd w:fill="F0F5F7"/>
          </w:tcPr>
          <w:p>
            <w:pPr>
              <w:spacing w:after="0" w:line="245" w:lineRule="auto"/>
            </w:pPr>
            <w:r/>
            <w:r>
              <w:rPr>
                <w:rFonts w:ascii="Aptos" w:hAnsi="Aptos"/>
                <w:b w:val="0"/>
                <w:color w:val="173045"/>
                <w:sz w:val="16"/>
              </w:rPr>
              <w:t>Sanofi</w:t>
            </w:r>
          </w:p>
        </w:tc>
        <w:tc>
          <w:tcPr>
            <w:tcW w:type="dxa" w:w="6365"/>
            <w:vAlign w:val="center"/>
            <w:shd w:fill="F0F5F7"/>
          </w:tcPr>
          <w:p>
            <w:pPr>
              <w:spacing w:after="0" w:line="245" w:lineRule="auto"/>
            </w:pPr>
            <w:r/>
            <w:r>
              <w:rPr>
                <w:rFonts w:ascii="Aptos" w:hAnsi="Aptos"/>
                <w:b w:val="0"/>
                <w:color w:val="173045"/>
                <w:sz w:val="16"/>
              </w:rPr>
              <w:t>Vaccine R&amp;D roles describe reagent purchasing, inventory and distribution; no software name.</w:t>
            </w:r>
          </w:p>
        </w:tc>
        <w:tc>
          <w:tcPr>
            <w:tcW w:type="dxa" w:w="1195"/>
            <w:vAlign w:val="center"/>
            <w:shd w:fill="F0F5F7"/>
          </w:tcPr>
          <w:p>
            <w:pPr>
              <w:spacing w:after="0" w:line="245" w:lineRule="auto"/>
            </w:pPr>
            <w:r/>
            <w:r>
              <w:rPr>
                <w:rFonts w:ascii="Aptos" w:hAnsi="Aptos"/>
                <w:b w:val="0"/>
                <w:color w:val="173045"/>
                <w:sz w:val="16"/>
              </w:rPr>
              <w:t>P09</w:t>
            </w:r>
          </w:p>
        </w:tc>
      </w:tr>
      <w:tr>
        <w:trPr>
          <w:cantSplit/>
        </w:trPr>
        <w:tc>
          <w:tcPr>
            <w:tcW w:type="dxa" w:w="2232"/>
            <w:vAlign w:val="center"/>
          </w:tcPr>
          <w:p>
            <w:pPr>
              <w:spacing w:after="0" w:line="245" w:lineRule="auto"/>
            </w:pPr>
            <w:r/>
            <w:r>
              <w:rPr>
                <w:rFonts w:ascii="Aptos" w:hAnsi="Aptos"/>
                <w:b w:val="0"/>
                <w:color w:val="173045"/>
                <w:sz w:val="16"/>
              </w:rPr>
              <w:t>Regeneron Pharmaceuticals</w:t>
            </w:r>
          </w:p>
        </w:tc>
        <w:tc>
          <w:tcPr>
            <w:tcW w:type="dxa" w:w="6365"/>
            <w:vAlign w:val="center"/>
          </w:tcPr>
          <w:p>
            <w:pPr>
              <w:spacing w:after="0" w:line="245" w:lineRule="auto"/>
            </w:pPr>
            <w:r/>
            <w:r>
              <w:rPr>
                <w:rFonts w:ascii="Aptos" w:hAnsi="Aptos"/>
                <w:b w:val="0"/>
                <w:color w:val="173045"/>
                <w:sz w:val="16"/>
              </w:rPr>
              <w:t>Role describes use of unnamed LIMS and ELN for sample/testing workflow plus reagent preparation/qualification; reagent inventory module not evidenced.</w:t>
            </w:r>
          </w:p>
        </w:tc>
        <w:tc>
          <w:tcPr>
            <w:tcW w:type="dxa" w:w="1195"/>
            <w:vAlign w:val="center"/>
          </w:tcPr>
          <w:p>
            <w:pPr>
              <w:spacing w:after="0" w:line="245" w:lineRule="auto"/>
            </w:pPr>
            <w:r/>
            <w:r>
              <w:rPr>
                <w:rFonts w:ascii="Aptos" w:hAnsi="Aptos"/>
                <w:b w:val="0"/>
                <w:color w:val="173045"/>
                <w:sz w:val="16"/>
              </w:rPr>
              <w:t>P10</w:t>
            </w:r>
          </w:p>
        </w:tc>
      </w:tr>
      <w:tr>
        <w:trPr>
          <w:cantSplit/>
        </w:trPr>
        <w:tc>
          <w:tcPr>
            <w:tcW w:type="dxa" w:w="2232"/>
            <w:vAlign w:val="center"/>
            <w:shd w:fill="F0F5F7"/>
          </w:tcPr>
          <w:p>
            <w:pPr>
              <w:spacing w:after="0" w:line="245" w:lineRule="auto"/>
            </w:pPr>
            <w:r/>
            <w:r>
              <w:rPr>
                <w:rFonts w:ascii="Aptos" w:hAnsi="Aptos"/>
                <w:b w:val="0"/>
                <w:color w:val="173045"/>
                <w:sz w:val="16"/>
              </w:rPr>
              <w:t>Moderna</w:t>
            </w:r>
          </w:p>
        </w:tc>
        <w:tc>
          <w:tcPr>
            <w:tcW w:type="dxa" w:w="6365"/>
            <w:vAlign w:val="center"/>
            <w:shd w:fill="F0F5F7"/>
          </w:tcPr>
          <w:p>
            <w:pPr>
              <w:spacing w:after="0" w:line="245" w:lineRule="auto"/>
            </w:pPr>
            <w:r/>
            <w:r>
              <w:rPr>
                <w:rFonts w:ascii="Aptos" w:hAnsi="Aptos"/>
                <w:b w:val="0"/>
                <w:color w:val="173045"/>
                <w:sz w:val="16"/>
              </w:rPr>
              <w:t>Named Benchling collaboration for research/technical development; critical-reagent module unspecified.</w:t>
            </w:r>
          </w:p>
        </w:tc>
        <w:tc>
          <w:tcPr>
            <w:tcW w:type="dxa" w:w="1195"/>
            <w:vAlign w:val="center"/>
            <w:shd w:fill="F0F5F7"/>
          </w:tcPr>
          <w:p>
            <w:pPr>
              <w:spacing w:after="0" w:line="245" w:lineRule="auto"/>
            </w:pPr>
            <w:r/>
            <w:r>
              <w:rPr>
                <w:rFonts w:ascii="Aptos" w:hAnsi="Aptos"/>
                <w:b w:val="0"/>
                <w:color w:val="173045"/>
                <w:sz w:val="16"/>
              </w:rPr>
              <w:t>P07</w:t>
            </w:r>
          </w:p>
        </w:tc>
      </w:tr>
      <w:tr>
        <w:trPr>
          <w:cantSplit/>
        </w:trPr>
        <w:tc>
          <w:tcPr>
            <w:tcW w:type="dxa" w:w="2232"/>
            <w:vAlign w:val="center"/>
          </w:tcPr>
          <w:p>
            <w:pPr>
              <w:spacing w:after="0" w:line="245" w:lineRule="auto"/>
            </w:pPr>
            <w:r/>
            <w:r>
              <w:rPr>
                <w:rFonts w:ascii="Aptos" w:hAnsi="Aptos"/>
                <w:b w:val="0"/>
                <w:color w:val="173045"/>
                <w:sz w:val="16"/>
              </w:rPr>
              <w:t>Takeda Pharmaceutical</w:t>
            </w:r>
          </w:p>
        </w:tc>
        <w:tc>
          <w:tcPr>
            <w:tcW w:type="dxa" w:w="6365"/>
            <w:vAlign w:val="center"/>
          </w:tcPr>
          <w:p>
            <w:pPr>
              <w:spacing w:after="0" w:line="245" w:lineRule="auto"/>
            </w:pPr>
            <w:r/>
            <w:r>
              <w:rPr>
                <w:rFonts w:ascii="Aptos" w:hAnsi="Aptos"/>
                <w:b w:val="0"/>
                <w:color w:val="173045"/>
                <w:sz w:val="16"/>
              </w:rPr>
              <w:t>No named critical-reagent inventory deployment substantiated in reviewed source set.</w:t>
            </w:r>
          </w:p>
        </w:tc>
        <w:tc>
          <w:tcPr>
            <w:tcW w:type="dxa" w:w="1195"/>
            <w:vAlign w:val="center"/>
          </w:tcPr>
          <w:p>
            <w:pPr>
              <w:spacing w:after="0" w:line="245" w:lineRule="auto"/>
            </w:pPr>
            <w:r/>
            <w:r>
              <w:rPr>
                <w:rFonts w:ascii="Aptos" w:hAnsi="Aptos"/>
                <w:b w:val="0"/>
                <w:color w:val="173045"/>
                <w:sz w:val="16"/>
              </w:rPr>
              <w:t>—</w:t>
            </w:r>
          </w:p>
        </w:tc>
      </w:tr>
      <w:tr>
        <w:trPr>
          <w:cantSplit/>
        </w:trPr>
        <w:tc>
          <w:tcPr>
            <w:tcW w:type="dxa" w:w="2232"/>
            <w:vAlign w:val="center"/>
            <w:shd w:fill="F0F5F7"/>
          </w:tcPr>
          <w:p>
            <w:pPr>
              <w:spacing w:after="0" w:line="245" w:lineRule="auto"/>
            </w:pPr>
            <w:r/>
            <w:r>
              <w:rPr>
                <w:rFonts w:ascii="Aptos" w:hAnsi="Aptos"/>
                <w:b w:val="0"/>
                <w:color w:val="173045"/>
                <w:sz w:val="16"/>
              </w:rPr>
              <w:t>argenx</w:t>
            </w:r>
          </w:p>
        </w:tc>
        <w:tc>
          <w:tcPr>
            <w:tcW w:type="dxa" w:w="6365"/>
            <w:vAlign w:val="center"/>
            <w:shd w:fill="F0F5F7"/>
          </w:tcPr>
          <w:p>
            <w:pPr>
              <w:spacing w:after="0" w:line="245" w:lineRule="auto"/>
            </w:pPr>
            <w:r/>
            <w:r>
              <w:rPr>
                <w:rFonts w:ascii="Aptos" w:hAnsi="Aptos"/>
                <w:b w:val="0"/>
                <w:color w:val="173045"/>
                <w:sz w:val="16"/>
              </w:rPr>
              <w:t>No named critical-reagent inventory deployment substantiated in reviewed source set.</w:t>
            </w:r>
          </w:p>
        </w:tc>
        <w:tc>
          <w:tcPr>
            <w:tcW w:type="dxa" w:w="1195"/>
            <w:vAlign w:val="center"/>
            <w:shd w:fill="F0F5F7"/>
          </w:tcPr>
          <w:p>
            <w:pPr>
              <w:spacing w:after="0" w:line="245" w:lineRule="auto"/>
            </w:pPr>
            <w:r/>
            <w:r>
              <w:rPr>
                <w:rFonts w:ascii="Aptos" w:hAnsi="Aptos"/>
                <w:b w:val="0"/>
                <w:color w:val="173045"/>
                <w:sz w:val="16"/>
              </w:rPr>
              <w:t>—</w:t>
            </w:r>
          </w:p>
        </w:tc>
      </w:tr>
      <w:tr>
        <w:trPr>
          <w:cantSplit/>
        </w:trPr>
        <w:tc>
          <w:tcPr>
            <w:tcW w:type="dxa" w:w="2232"/>
            <w:vAlign w:val="center"/>
          </w:tcPr>
          <w:p>
            <w:pPr>
              <w:spacing w:after="0" w:line="245" w:lineRule="auto"/>
            </w:pPr>
            <w:r/>
            <w:r>
              <w:rPr>
                <w:rFonts w:ascii="Aptos" w:hAnsi="Aptos"/>
                <w:b w:val="0"/>
                <w:color w:val="173045"/>
                <w:sz w:val="16"/>
              </w:rPr>
              <w:t>Teva Pharmaceutical</w:t>
            </w:r>
          </w:p>
        </w:tc>
        <w:tc>
          <w:tcPr>
            <w:tcW w:type="dxa" w:w="6365"/>
            <w:vAlign w:val="center"/>
          </w:tcPr>
          <w:p>
            <w:pPr>
              <w:spacing w:after="0" w:line="245" w:lineRule="auto"/>
            </w:pPr>
            <w:r/>
            <w:r>
              <w:rPr>
                <w:rFonts w:ascii="Aptos" w:hAnsi="Aptos"/>
                <w:b w:val="0"/>
                <w:color w:val="173045"/>
                <w:sz w:val="16"/>
              </w:rPr>
              <w:t>No module-specific deployment substantiated; LabWare supplier logo alone is insufficient.</w:t>
            </w:r>
          </w:p>
        </w:tc>
        <w:tc>
          <w:tcPr>
            <w:tcW w:type="dxa" w:w="1195"/>
            <w:vAlign w:val="center"/>
          </w:tcPr>
          <w:p>
            <w:pPr>
              <w:spacing w:after="0" w:line="245" w:lineRule="auto"/>
            </w:pPr>
            <w:r/>
            <w:r>
              <w:rPr>
                <w:rFonts w:ascii="Aptos" w:hAnsi="Aptos"/>
                <w:b w:val="0"/>
                <w:color w:val="173045"/>
                <w:sz w:val="16"/>
              </w:rPr>
              <w:t>P11</w:t>
            </w:r>
          </w:p>
        </w:tc>
      </w:tr>
    </w:tbl>
    <w:p>
      <w:pPr>
        <w:spacing w:after="20"/>
      </w:pPr>
    </w:p>
    <w:p>
      <w:pPr>
        <w:pStyle w:val="Small"/>
      </w:pPr>
      <w:r>
        <w:t>Methodological note: A statement that no named system was substantiated means only that the reviewed public sources did not establish a qualifying biological critical-reagent inventory deployment. It does not imply the company lacks such a system. This is an evidence map, not an adoption market-share survey.</w:t>
      </w:r>
    </w:p>
    <w:p>
      <w:pPr>
        <w:pStyle w:val="Heading1"/>
      </w:pPr>
      <w:r>
        <w:t>3  |  Platform hypothesis: inventory embedded in broader enterprise systems</w:t>
      </w:r>
    </w:p>
    <w:p>
      <w:pPr>
        <w:pStyle w:val="Heading2"/>
      </w:pPr>
      <w:r>
        <w:t>3.1  |  What is technically documented</w:t>
      </w:r>
    </w:p>
    <w:tbl>
      <w:tblPr>
        <w:tblStyle w:val="TableGrid"/>
        <w:tblW w:type="auto" w:w="0"/>
        <w:jc w:val="center"/>
        <w:tblLayout w:type="fixed"/>
        <w:tblLook w:firstColumn="1" w:firstRow="1" w:lastColumn="0" w:lastRow="0" w:noHBand="0" w:noVBand="1" w:val="04A0"/>
      </w:tblPr>
      <w:tblGrid>
        <w:gridCol w:w="2016"/>
        <w:gridCol w:w="3888"/>
        <w:gridCol w:w="3888"/>
      </w:tblGrid>
      <w:tr>
        <w:trPr>
          <w:tblHeader w:val="true"/>
        </w:trPr>
        <w:tc>
          <w:tcPr>
            <w:tcW w:type="dxa" w:w="3298"/>
            <w:vAlign w:val="center"/>
            <w:shd w:fill="173045"/>
          </w:tcPr>
          <w:p>
            <w:pPr>
              <w:spacing w:after="0" w:line="245" w:lineRule="auto"/>
            </w:pPr>
            <w:r/>
            <w:r>
              <w:rPr>
                <w:rFonts w:ascii="Aptos" w:hAnsi="Aptos"/>
                <w:b/>
                <w:color w:val="FFFFFF"/>
                <w:sz w:val="16"/>
              </w:rPr>
              <w:t>Platform layer</w:t>
            </w:r>
          </w:p>
        </w:tc>
        <w:tc>
          <w:tcPr>
            <w:tcW w:type="dxa" w:w="3298"/>
            <w:vAlign w:val="center"/>
            <w:shd w:fill="173045"/>
          </w:tcPr>
          <w:p>
            <w:pPr>
              <w:spacing w:after="0" w:line="245" w:lineRule="auto"/>
            </w:pPr>
            <w:r/>
            <w:r>
              <w:rPr>
                <w:rFonts w:ascii="Aptos" w:hAnsi="Aptos"/>
                <w:b/>
                <w:color w:val="FFFFFF"/>
                <w:sz w:val="16"/>
              </w:rPr>
              <w:t>Documented functionality</w:t>
            </w:r>
          </w:p>
        </w:tc>
        <w:tc>
          <w:tcPr>
            <w:tcW w:type="dxa" w:w="3298"/>
            <w:vAlign w:val="center"/>
            <w:shd w:fill="173045"/>
          </w:tcPr>
          <w:p>
            <w:pPr>
              <w:spacing w:after="0" w:line="245" w:lineRule="auto"/>
            </w:pPr>
            <w:r/>
            <w:r>
              <w:rPr>
                <w:rFonts w:ascii="Aptos" w:hAnsi="Aptos"/>
                <w:b/>
                <w:color w:val="FFFFFF"/>
                <w:sz w:val="16"/>
              </w:rPr>
              <w:t>What this does not establish</w:t>
            </w:r>
          </w:p>
        </w:tc>
      </w:tr>
      <w:tr>
        <w:trPr>
          <w:cantSplit/>
        </w:trPr>
        <w:tc>
          <w:tcPr>
            <w:tcW w:type="dxa" w:w="2016"/>
            <w:vAlign w:val="center"/>
          </w:tcPr>
          <w:p>
            <w:pPr>
              <w:spacing w:after="0" w:line="245" w:lineRule="auto"/>
            </w:pPr>
            <w:r/>
            <w:r>
              <w:rPr>
                <w:rFonts w:ascii="Aptos" w:hAnsi="Aptos"/>
                <w:b w:val="0"/>
                <w:color w:val="173045"/>
                <w:sz w:val="16"/>
              </w:rPr>
              <w:t>Veeva Vault LIMS</w:t>
            </w:r>
          </w:p>
        </w:tc>
        <w:tc>
          <w:tcPr>
            <w:tcW w:type="dxa" w:w="3888"/>
            <w:vAlign w:val="center"/>
          </w:tcPr>
          <w:p>
            <w:pPr>
              <w:spacing w:after="0" w:line="245" w:lineRule="auto"/>
            </w:pPr>
            <w:r/>
            <w:r>
              <w:rPr>
                <w:rFonts w:ascii="Aptos" w:hAnsi="Aptos"/>
                <w:b w:val="0"/>
                <w:color w:val="173045"/>
                <w:sz w:val="16"/>
              </w:rPr>
              <w:t>Reagent/standard consumable families, preparation type, lot number, storage and test-use traceability. [T01]</w:t>
            </w:r>
          </w:p>
        </w:tc>
        <w:tc>
          <w:tcPr>
            <w:tcW w:type="dxa" w:w="3888"/>
            <w:vAlign w:val="center"/>
          </w:tcPr>
          <w:p>
            <w:pPr>
              <w:spacing w:after="0" w:line="245" w:lineRule="auto"/>
            </w:pPr>
            <w:r/>
            <w:r>
              <w:rPr>
                <w:rFonts w:ascii="Aptos" w:hAnsi="Aptos"/>
                <w:b w:val="0"/>
                <w:color w:val="173045"/>
                <w:sz w:val="16"/>
              </w:rPr>
              <w:t>Not evidence that Veeva QMS customers use LIMS or that any named peer has deployed this module.</w:t>
            </w:r>
          </w:p>
        </w:tc>
      </w:tr>
      <w:tr>
        <w:trPr>
          <w:cantSplit/>
        </w:trPr>
        <w:tc>
          <w:tcPr>
            <w:tcW w:type="dxa" w:w="2016"/>
            <w:vAlign w:val="center"/>
            <w:shd w:fill="F0F5F7"/>
          </w:tcPr>
          <w:p>
            <w:pPr>
              <w:spacing w:after="0" w:line="245" w:lineRule="auto"/>
            </w:pPr>
            <w:r/>
            <w:r>
              <w:rPr>
                <w:rFonts w:ascii="Aptos" w:hAnsi="Aptos"/>
                <w:b w:val="0"/>
                <w:color w:val="173045"/>
                <w:sz w:val="16"/>
              </w:rPr>
              <w:t>LabWare LIMS/ELN</w:t>
            </w:r>
          </w:p>
        </w:tc>
        <w:tc>
          <w:tcPr>
            <w:tcW w:type="dxa" w:w="3888"/>
            <w:vAlign w:val="center"/>
            <w:shd w:fill="F0F5F7"/>
          </w:tcPr>
          <w:p>
            <w:pPr>
              <w:spacing w:after="0" w:line="245" w:lineRule="auto"/>
            </w:pPr>
            <w:r/>
            <w:r>
              <w:rPr>
                <w:rFonts w:ascii="Aptos" w:hAnsi="Aptos"/>
                <w:b w:val="0"/>
                <w:color w:val="173045"/>
                <w:sz w:val="16"/>
              </w:rPr>
              <w:t>Inventory Manager tracks item quantity, location, expiration and supplier; Bioanalysis page addresses reagents, standards and method execution. [T03,T10,T11]</w:t>
            </w:r>
          </w:p>
        </w:tc>
        <w:tc>
          <w:tcPr>
            <w:tcW w:type="dxa" w:w="3888"/>
            <w:vAlign w:val="center"/>
            <w:shd w:fill="F0F5F7"/>
          </w:tcPr>
          <w:p>
            <w:pPr>
              <w:spacing w:after="0" w:line="245" w:lineRule="auto"/>
            </w:pPr>
            <w:r/>
            <w:r>
              <w:rPr>
                <w:rFonts w:ascii="Aptos" w:hAnsi="Aptos"/>
                <w:b w:val="0"/>
                <w:color w:val="173045"/>
                <w:sz w:val="16"/>
              </w:rPr>
              <w:t>Named customer logos do not establish use of the inventory module, lot qualification or a company-wide roll-out.</w:t>
            </w:r>
          </w:p>
        </w:tc>
      </w:tr>
      <w:tr>
        <w:trPr>
          <w:cantSplit/>
        </w:trPr>
        <w:tc>
          <w:tcPr>
            <w:tcW w:type="dxa" w:w="2016"/>
            <w:vAlign w:val="center"/>
          </w:tcPr>
          <w:p>
            <w:pPr>
              <w:spacing w:after="0" w:line="245" w:lineRule="auto"/>
            </w:pPr>
            <w:r/>
            <w:r>
              <w:rPr>
                <w:rFonts w:ascii="Aptos" w:hAnsi="Aptos"/>
                <w:b w:val="0"/>
                <w:color w:val="173045"/>
                <w:sz w:val="16"/>
              </w:rPr>
              <w:t>Thermo Fisher SampleManager</w:t>
            </w:r>
          </w:p>
        </w:tc>
        <w:tc>
          <w:tcPr>
            <w:tcW w:type="dxa" w:w="3888"/>
            <w:vAlign w:val="center"/>
          </w:tcPr>
          <w:p>
            <w:pPr>
              <w:spacing w:after="0" w:line="245" w:lineRule="auto"/>
            </w:pPr>
            <w:r/>
            <w:r>
              <w:rPr>
                <w:rFonts w:ascii="Aptos" w:hAnsi="Aptos"/>
                <w:b w:val="0"/>
                <w:color w:val="173045"/>
                <w:sz w:val="16"/>
              </w:rPr>
              <w:t>Stock batches, lot, labels, location, procurement, consumption, method/test linkage, expiration and low-stock alerts. [T04]</w:t>
            </w:r>
          </w:p>
        </w:tc>
        <w:tc>
          <w:tcPr>
            <w:tcW w:type="dxa" w:w="3888"/>
            <w:vAlign w:val="center"/>
          </w:tcPr>
          <w:p>
            <w:pPr>
              <w:spacing w:after="0" w:line="245" w:lineRule="auto"/>
            </w:pPr>
            <w:r/>
            <w:r>
              <w:rPr>
                <w:rFonts w:ascii="Aptos" w:hAnsi="Aptos"/>
                <w:b w:val="0"/>
                <w:color w:val="173045"/>
                <w:sz w:val="16"/>
              </w:rPr>
              <w:t>No identified 19-peer module implementation from this product documentation.</w:t>
            </w:r>
          </w:p>
        </w:tc>
      </w:tr>
      <w:tr>
        <w:trPr>
          <w:cantSplit/>
        </w:trPr>
        <w:tc>
          <w:tcPr>
            <w:tcW w:type="dxa" w:w="2016"/>
            <w:vAlign w:val="center"/>
            <w:shd w:fill="F0F5F7"/>
          </w:tcPr>
          <w:p>
            <w:pPr>
              <w:spacing w:after="0" w:line="245" w:lineRule="auto"/>
            </w:pPr>
            <w:r/>
            <w:r>
              <w:rPr>
                <w:rFonts w:ascii="Aptos" w:hAnsi="Aptos"/>
                <w:b w:val="0"/>
                <w:color w:val="173045"/>
                <w:sz w:val="16"/>
              </w:rPr>
              <w:t>Benchling Inventory</w:t>
            </w:r>
          </w:p>
        </w:tc>
        <w:tc>
          <w:tcPr>
            <w:tcW w:type="dxa" w:w="3888"/>
            <w:vAlign w:val="center"/>
            <w:shd w:fill="F0F5F7"/>
          </w:tcPr>
          <w:p>
            <w:pPr>
              <w:spacing w:after="0" w:line="245" w:lineRule="auto"/>
            </w:pPr>
            <w:r/>
            <w:r>
              <w:rPr>
                <w:rFonts w:ascii="Aptos" w:hAnsi="Aptos"/>
                <w:b w:val="0"/>
                <w:color w:val="173045"/>
                <w:sz w:val="16"/>
              </w:rPr>
              <w:t>Physical hierarchy (location, container, plate, box); storage and samples registered as entities. [T05]</w:t>
            </w:r>
          </w:p>
        </w:tc>
        <w:tc>
          <w:tcPr>
            <w:tcW w:type="dxa" w:w="3888"/>
            <w:vAlign w:val="center"/>
            <w:shd w:fill="F0F5F7"/>
          </w:tcPr>
          <w:p>
            <w:pPr>
              <w:spacing w:after="0" w:line="245" w:lineRule="auto"/>
            </w:pPr>
            <w:r/>
            <w:r>
              <w:rPr>
                <w:rFonts w:ascii="Aptos" w:hAnsi="Aptos"/>
                <w:b w:val="0"/>
                <w:color w:val="173045"/>
                <w:sz w:val="16"/>
              </w:rPr>
              <w:t>Research inventory documentation is not proof of manufacturing-QC critical reagent approvals.</w:t>
            </w:r>
          </w:p>
        </w:tc>
      </w:tr>
      <w:tr>
        <w:trPr>
          <w:cantSplit/>
        </w:trPr>
        <w:tc>
          <w:tcPr>
            <w:tcW w:type="dxa" w:w="2016"/>
            <w:vAlign w:val="center"/>
          </w:tcPr>
          <w:p>
            <w:pPr>
              <w:spacing w:after="0" w:line="245" w:lineRule="auto"/>
            </w:pPr>
            <w:r/>
            <w:r>
              <w:rPr>
                <w:rFonts w:ascii="Aptos" w:hAnsi="Aptos"/>
                <w:b w:val="0"/>
                <w:color w:val="173045"/>
                <w:sz w:val="16"/>
              </w:rPr>
              <w:t>SAP S/4HANA</w:t>
            </w:r>
          </w:p>
        </w:tc>
        <w:tc>
          <w:tcPr>
            <w:tcW w:type="dxa" w:w="3888"/>
            <w:vAlign w:val="center"/>
          </w:tcPr>
          <w:p>
            <w:pPr>
              <w:spacing w:after="0" w:line="245" w:lineRule="auto"/>
            </w:pPr>
            <w:r/>
            <w:r>
              <w:rPr>
                <w:rFonts w:ascii="Aptos" w:hAnsi="Aptos"/>
                <w:b w:val="0"/>
                <w:color w:val="173045"/>
                <w:sz w:val="16"/>
              </w:rPr>
              <w:t>Batch-managed stock and shelf-life expiration controls. [T06]</w:t>
            </w:r>
          </w:p>
        </w:tc>
        <w:tc>
          <w:tcPr>
            <w:tcW w:type="dxa" w:w="3888"/>
            <w:vAlign w:val="center"/>
          </w:tcPr>
          <w:p>
            <w:pPr>
              <w:spacing w:after="0" w:line="245" w:lineRule="auto"/>
            </w:pPr>
            <w:r/>
            <w:r>
              <w:rPr>
                <w:rFonts w:ascii="Aptos" w:hAnsi="Aptos"/>
                <w:b w:val="0"/>
                <w:color w:val="173045"/>
                <w:sz w:val="16"/>
              </w:rPr>
              <w:t>Material availability is different from assay-specific reagent qualification.</w:t>
            </w:r>
          </w:p>
        </w:tc>
      </w:tr>
      <w:tr>
        <w:trPr>
          <w:cantSplit/>
        </w:trPr>
        <w:tc>
          <w:tcPr>
            <w:tcW w:type="dxa" w:w="2016"/>
            <w:vAlign w:val="center"/>
            <w:shd w:fill="F0F5F7"/>
          </w:tcPr>
          <w:p>
            <w:pPr>
              <w:spacing w:after="0" w:line="245" w:lineRule="auto"/>
            </w:pPr>
            <w:r/>
            <w:r>
              <w:rPr>
                <w:rFonts w:ascii="Aptos" w:hAnsi="Aptos"/>
                <w:b w:val="0"/>
                <w:color w:val="173045"/>
                <w:sz w:val="16"/>
              </w:rPr>
              <w:t>Cenevo Mosaic</w:t>
            </w:r>
          </w:p>
        </w:tc>
        <w:tc>
          <w:tcPr>
            <w:tcW w:type="dxa" w:w="3888"/>
            <w:vAlign w:val="center"/>
            <w:shd w:fill="F0F5F7"/>
          </w:tcPr>
          <w:p>
            <w:pPr>
              <w:spacing w:after="0" w:line="245" w:lineRule="auto"/>
            </w:pPr>
            <w:r/>
            <w:r>
              <w:rPr>
                <w:rFonts w:ascii="Aptos" w:hAnsi="Aptos"/>
                <w:b w:val="0"/>
                <w:color w:val="173045"/>
                <w:sz w:val="16"/>
              </w:rPr>
              <w:t>Lot lineage, aliquots, freeze-thaw, validation status, inventory level and audit trail. [T07]</w:t>
            </w:r>
          </w:p>
        </w:tc>
        <w:tc>
          <w:tcPr>
            <w:tcW w:type="dxa" w:w="3888"/>
            <w:vAlign w:val="center"/>
            <w:shd w:fill="F0F5F7"/>
          </w:tcPr>
          <w:p>
            <w:pPr>
              <w:spacing w:after="0" w:line="245" w:lineRule="auto"/>
            </w:pPr>
            <w:r/>
            <w:r>
              <w:rPr>
                <w:rFonts w:ascii="Aptos" w:hAnsi="Aptos"/>
                <w:b w:val="0"/>
                <w:color w:val="173045"/>
                <w:sz w:val="16"/>
              </w:rPr>
              <w:t>Supplier capabilities require customer-specific configuration and validation evidence.</w:t>
            </w:r>
          </w:p>
        </w:tc>
      </w:tr>
      <w:tr>
        <w:trPr>
          <w:cantSplit/>
        </w:trPr>
        <w:tc>
          <w:tcPr>
            <w:tcW w:type="dxa" w:w="2016"/>
            <w:vAlign w:val="center"/>
          </w:tcPr>
          <w:p>
            <w:pPr>
              <w:spacing w:after="0" w:line="245" w:lineRule="auto"/>
            </w:pPr>
            <w:r/>
            <w:r>
              <w:rPr>
                <w:rFonts w:ascii="Aptos" w:hAnsi="Aptos"/>
                <w:b w:val="0"/>
                <w:color w:val="173045"/>
                <w:sz w:val="16"/>
              </w:rPr>
              <w:t>LabVantage LIMS/ELN</w:t>
            </w:r>
          </w:p>
        </w:tc>
        <w:tc>
          <w:tcPr>
            <w:tcW w:type="dxa" w:w="3888"/>
            <w:vAlign w:val="center"/>
          </w:tcPr>
          <w:p>
            <w:pPr>
              <w:spacing w:after="0" w:line="245" w:lineRule="auto"/>
            </w:pPr>
            <w:r/>
            <w:r>
              <w:rPr>
                <w:rFonts w:ascii="Aptos" w:hAnsi="Aptos"/>
                <w:b w:val="0"/>
                <w:color w:val="173045"/>
                <w:sz w:val="16"/>
              </w:rPr>
              <w:t>Supplier outlines integrated reagent qualification, storage, use and expiry workflows. [T08]</w:t>
            </w:r>
          </w:p>
        </w:tc>
        <w:tc>
          <w:tcPr>
            <w:tcW w:type="dxa" w:w="3888"/>
            <w:vAlign w:val="center"/>
          </w:tcPr>
          <w:p>
            <w:pPr>
              <w:spacing w:after="0" w:line="245" w:lineRule="auto"/>
            </w:pPr>
            <w:r/>
            <w:r>
              <w:rPr>
                <w:rFonts w:ascii="Aptos" w:hAnsi="Aptos"/>
                <w:b w:val="0"/>
                <w:color w:val="173045"/>
                <w:sz w:val="16"/>
              </w:rPr>
              <w:t>General vendor lifecycle descriptions do not demonstrate implementation at a named peer.</w:t>
            </w:r>
          </w:p>
        </w:tc>
      </w:tr>
    </w:tbl>
    <w:p>
      <w:pPr>
        <w:spacing w:after="20"/>
      </w:pPr>
    </w:p>
    <w:p>
      <w:pPr>
        <w:pStyle w:val="Heading2"/>
      </w:pPr>
      <w:r>
        <w:t>3.2  |  Veeva adoption caveat</w:t>
      </w:r>
    </w:p>
    <w:p>
      <w:r>
        <w:t>Veeva reported in March 2026 that its first top-20 biopharma LIMS early adopter was targeting go-lives at two manufacturing sites later in 2026. The statement is a dated plan; it does not confirm the go-lives had occurred by this report date. Veeva QMS penetration cannot be used as a proxy for Veeva LIMS use. [T02]</w:t>
      </w:r>
    </w:p>
    <w:p>
      <w:pPr>
        <w:pStyle w:val="Heading2"/>
      </w:pPr>
      <w:r>
        <w:t>3.3  |  Evidence-derived architecture patterns</w:t>
      </w:r>
    </w:p>
    <w:tbl>
      <w:tblPr>
        <w:tblStyle w:val="TableGrid"/>
        <w:tblW w:type="auto" w:w="0"/>
        <w:jc w:val="center"/>
        <w:tblLayout w:type="fixed"/>
        <w:tblLook w:firstColumn="1" w:firstRow="1" w:lastColumn="0" w:lastRow="0" w:noHBand="0" w:noVBand="1" w:val="04A0"/>
      </w:tblPr>
      <w:tblGrid>
        <w:gridCol w:w="2232"/>
        <w:gridCol w:w="3168"/>
        <w:gridCol w:w="4392"/>
      </w:tblGrid>
      <w:tr>
        <w:trPr>
          <w:tblHeader w:val="true"/>
        </w:trPr>
        <w:tc>
          <w:tcPr>
            <w:tcW w:type="dxa" w:w="3298"/>
            <w:vAlign w:val="center"/>
            <w:shd w:fill="173045"/>
          </w:tcPr>
          <w:p>
            <w:pPr>
              <w:spacing w:after="0" w:line="245" w:lineRule="auto"/>
            </w:pPr>
            <w:r/>
            <w:r>
              <w:rPr>
                <w:rFonts w:ascii="Aptos" w:hAnsi="Aptos"/>
                <w:b/>
                <w:color w:val="FFFFFF"/>
                <w:sz w:val="16"/>
              </w:rPr>
              <w:t>Pattern</w:t>
            </w:r>
          </w:p>
        </w:tc>
        <w:tc>
          <w:tcPr>
            <w:tcW w:type="dxa" w:w="3298"/>
            <w:vAlign w:val="center"/>
            <w:shd w:fill="173045"/>
          </w:tcPr>
          <w:p>
            <w:pPr>
              <w:spacing w:after="0" w:line="245" w:lineRule="auto"/>
            </w:pPr>
            <w:r/>
            <w:r>
              <w:rPr>
                <w:rFonts w:ascii="Aptos" w:hAnsi="Aptos"/>
                <w:b/>
                <w:color w:val="FFFFFF"/>
                <w:sz w:val="16"/>
              </w:rPr>
              <w:t>System of record for</w:t>
            </w:r>
          </w:p>
        </w:tc>
        <w:tc>
          <w:tcPr>
            <w:tcW w:type="dxa" w:w="3298"/>
            <w:vAlign w:val="center"/>
            <w:shd w:fill="173045"/>
          </w:tcPr>
          <w:p>
            <w:pPr>
              <w:spacing w:after="0" w:line="245" w:lineRule="auto"/>
            </w:pPr>
            <w:r/>
            <w:r>
              <w:rPr>
                <w:rFonts w:ascii="Aptos" w:hAnsi="Aptos"/>
                <w:b/>
                <w:color w:val="FFFFFF"/>
                <w:sz w:val="16"/>
              </w:rPr>
              <w:t>Integration requirement</w:t>
            </w:r>
          </w:p>
        </w:tc>
      </w:tr>
      <w:tr>
        <w:trPr>
          <w:cantSplit/>
        </w:trPr>
        <w:tc>
          <w:tcPr>
            <w:tcW w:type="dxa" w:w="2232"/>
            <w:vAlign w:val="center"/>
          </w:tcPr>
          <w:p>
            <w:pPr>
              <w:spacing w:after="0" w:line="245" w:lineRule="auto"/>
            </w:pPr>
            <w:r/>
            <w:r>
              <w:rPr>
                <w:rFonts w:ascii="Aptos" w:hAnsi="Aptos"/>
                <w:b w:val="0"/>
                <w:color w:val="173045"/>
                <w:sz w:val="16"/>
              </w:rPr>
              <w:t>Integrated LIMS/ELN</w:t>
            </w:r>
          </w:p>
        </w:tc>
        <w:tc>
          <w:tcPr>
            <w:tcW w:type="dxa" w:w="3168"/>
            <w:vAlign w:val="center"/>
          </w:tcPr>
          <w:p>
            <w:pPr>
              <w:spacing w:after="0" w:line="245" w:lineRule="auto"/>
            </w:pPr>
            <w:r/>
            <w:r>
              <w:rPr>
                <w:rFonts w:ascii="Aptos" w:hAnsi="Aptos"/>
                <w:b w:val="0"/>
                <w:color w:val="173045"/>
                <w:sz w:val="16"/>
              </w:rPr>
              <w:t>Method-related reagent status, tests and regulated laboratory records.</w:t>
            </w:r>
          </w:p>
        </w:tc>
        <w:tc>
          <w:tcPr>
            <w:tcW w:type="dxa" w:w="4392"/>
            <w:vAlign w:val="center"/>
          </w:tcPr>
          <w:p>
            <w:pPr>
              <w:spacing w:after="0" w:line="245" w:lineRule="auto"/>
            </w:pPr>
            <w:r/>
            <w:r>
              <w:rPr>
                <w:rFonts w:ascii="Aptos" w:hAnsi="Aptos"/>
                <w:b w:val="0"/>
                <w:color w:val="173045"/>
                <w:sz w:val="16"/>
              </w:rPr>
              <w:t>ERP purchasing/stock; scientific identity; external logistics when required.</w:t>
            </w:r>
          </w:p>
        </w:tc>
      </w:tr>
      <w:tr>
        <w:trPr>
          <w:cantSplit/>
        </w:trPr>
        <w:tc>
          <w:tcPr>
            <w:tcW w:type="dxa" w:w="2232"/>
            <w:vAlign w:val="center"/>
            <w:shd w:fill="F0F5F7"/>
          </w:tcPr>
          <w:p>
            <w:pPr>
              <w:spacing w:after="0" w:line="245" w:lineRule="auto"/>
            </w:pPr>
            <w:r/>
            <w:r>
              <w:rPr>
                <w:rFonts w:ascii="Aptos" w:hAnsi="Aptos"/>
                <w:b w:val="0"/>
                <w:color w:val="173045"/>
                <w:sz w:val="16"/>
              </w:rPr>
              <w:t>LIMS + specialist reagent system</w:t>
            </w:r>
          </w:p>
        </w:tc>
        <w:tc>
          <w:tcPr>
            <w:tcW w:type="dxa" w:w="3168"/>
            <w:vAlign w:val="center"/>
            <w:shd w:fill="F0F5F7"/>
          </w:tcPr>
          <w:p>
            <w:pPr>
              <w:spacing w:after="0" w:line="245" w:lineRule="auto"/>
            </w:pPr>
            <w:r/>
            <w:r>
              <w:rPr>
                <w:rFonts w:ascii="Aptos" w:hAnsi="Aptos"/>
                <w:b w:val="0"/>
                <w:color w:val="173045"/>
                <w:sz w:val="16"/>
              </w:rPr>
              <w:t>LIMS holds testing record; dedicated application holds reagent lots/aliquots, qualifications or cross-CRO transfers.</w:t>
            </w:r>
          </w:p>
        </w:tc>
        <w:tc>
          <w:tcPr>
            <w:tcW w:type="dxa" w:w="4392"/>
            <w:vAlign w:val="center"/>
            <w:shd w:fill="F0F5F7"/>
          </w:tcPr>
          <w:p>
            <w:pPr>
              <w:spacing w:after="0" w:line="245" w:lineRule="auto"/>
            </w:pPr>
            <w:r/>
            <w:r>
              <w:rPr>
                <w:rFonts w:ascii="Aptos" w:hAnsi="Aptos"/>
                <w:b w:val="0"/>
                <w:color w:val="173045"/>
                <w:sz w:val="16"/>
              </w:rPr>
              <w:t>Common reagent and lot identity; controlled approval and change history.</w:t>
            </w:r>
          </w:p>
        </w:tc>
      </w:tr>
      <w:tr>
        <w:trPr>
          <w:cantSplit/>
        </w:trPr>
        <w:tc>
          <w:tcPr>
            <w:tcW w:type="dxa" w:w="2232"/>
            <w:vAlign w:val="center"/>
          </w:tcPr>
          <w:p>
            <w:pPr>
              <w:spacing w:after="0" w:line="245" w:lineRule="auto"/>
            </w:pPr>
            <w:r/>
            <w:r>
              <w:rPr>
                <w:rFonts w:ascii="Aptos" w:hAnsi="Aptos"/>
                <w:b w:val="0"/>
                <w:color w:val="173045"/>
                <w:sz w:val="16"/>
              </w:rPr>
              <w:t>Scientific R&amp;D inventory + QC LIMS</w:t>
            </w:r>
          </w:p>
        </w:tc>
        <w:tc>
          <w:tcPr>
            <w:tcW w:type="dxa" w:w="3168"/>
            <w:vAlign w:val="center"/>
          </w:tcPr>
          <w:p>
            <w:pPr>
              <w:spacing w:after="0" w:line="245" w:lineRule="auto"/>
            </w:pPr>
            <w:r/>
            <w:r>
              <w:rPr>
                <w:rFonts w:ascii="Aptos" w:hAnsi="Aptos"/>
                <w:b w:val="0"/>
                <w:color w:val="173045"/>
                <w:sz w:val="16"/>
              </w:rPr>
              <w:t>R&amp;D platform tracks entities and experiments; QC LIMS tracks regulated execution.</w:t>
            </w:r>
          </w:p>
        </w:tc>
        <w:tc>
          <w:tcPr>
            <w:tcW w:type="dxa" w:w="4392"/>
            <w:vAlign w:val="center"/>
          </w:tcPr>
          <w:p>
            <w:pPr>
              <w:spacing w:after="0" w:line="245" w:lineRule="auto"/>
            </w:pPr>
            <w:r/>
            <w:r>
              <w:rPr>
                <w:rFonts w:ascii="Aptos" w:hAnsi="Aptos"/>
                <w:b w:val="0"/>
                <w:color w:val="173045"/>
                <w:sz w:val="16"/>
              </w:rPr>
              <w:t>Controlled transfer of material and qualification context, not just barcodes.</w:t>
            </w:r>
          </w:p>
        </w:tc>
      </w:tr>
      <w:tr>
        <w:trPr>
          <w:cantSplit/>
        </w:trPr>
        <w:tc>
          <w:tcPr>
            <w:tcW w:type="dxa" w:w="2232"/>
            <w:vAlign w:val="center"/>
            <w:shd w:fill="F0F5F7"/>
          </w:tcPr>
          <w:p>
            <w:pPr>
              <w:spacing w:after="0" w:line="245" w:lineRule="auto"/>
            </w:pPr>
            <w:r/>
            <w:r>
              <w:rPr>
                <w:rFonts w:ascii="Aptos" w:hAnsi="Aptos"/>
                <w:b w:val="0"/>
                <w:color w:val="173045"/>
                <w:sz w:val="16"/>
              </w:rPr>
              <w:t>ERP + inventory visibility</w:t>
            </w:r>
          </w:p>
        </w:tc>
        <w:tc>
          <w:tcPr>
            <w:tcW w:type="dxa" w:w="3168"/>
            <w:vAlign w:val="center"/>
            <w:shd w:fill="F0F5F7"/>
          </w:tcPr>
          <w:p>
            <w:pPr>
              <w:spacing w:after="0" w:line="245" w:lineRule="auto"/>
            </w:pPr>
            <w:r/>
            <w:r>
              <w:rPr>
                <w:rFonts w:ascii="Aptos" w:hAnsi="Aptos"/>
                <w:b w:val="0"/>
                <w:color w:val="173045"/>
                <w:sz w:val="16"/>
              </w:rPr>
              <w:t>ERP tracks purchased material and batch stock; laboratory tool tracks assay-use constraints.</w:t>
            </w:r>
          </w:p>
        </w:tc>
        <w:tc>
          <w:tcPr>
            <w:tcW w:type="dxa" w:w="4392"/>
            <w:vAlign w:val="center"/>
            <w:shd w:fill="F0F5F7"/>
          </w:tcPr>
          <w:p>
            <w:pPr>
              <w:spacing w:after="0" w:line="245" w:lineRule="auto"/>
            </w:pPr>
            <w:r/>
            <w:r>
              <w:rPr>
                <w:rFonts w:ascii="Aptos" w:hAnsi="Aptos"/>
                <w:b w:val="0"/>
                <w:color w:val="173045"/>
                <w:sz w:val="16"/>
              </w:rPr>
              <w:t>Reconcile physical stock and approved-for-method status.</w:t>
            </w:r>
          </w:p>
        </w:tc>
      </w:tr>
    </w:tbl>
    <w:p>
      <w:pPr>
        <w:spacing w:after="20"/>
      </w:pPr>
    </w:p>
    <w:p>
      <w:pPr>
        <w:pStyle w:val="Small"/>
      </w:pPr>
      <w:r>
        <w:t>These patterns are architecture synthesis from documented product scope and the B2S implementation—not claims that any named peer currently runs precisely that architecture. [R02,T01,T03–T07]</w:t>
      </w:r>
    </w:p>
    <w:p>
      <w:r>
        <w:br w:type="page"/>
      </w:r>
    </w:p>
    <w:p>
      <w:pPr>
        <w:pStyle w:val="Heading1"/>
      </w:pPr>
      <w:r>
        <w:t>4  |  Established supplier landscape</w:t>
      </w:r>
    </w:p>
    <w:tbl>
      <w:tblPr>
        <w:tblStyle w:val="TableGrid"/>
        <w:tblW w:type="auto" w:w="0"/>
        <w:jc w:val="center"/>
        <w:tblLayout w:type="fixed"/>
        <w:tblLook w:firstColumn="1" w:firstRow="1" w:lastColumn="0" w:lastRow="0" w:noHBand="0" w:noVBand="1" w:val="04A0"/>
      </w:tblPr>
      <w:tblGrid>
        <w:gridCol w:w="1728"/>
        <w:gridCol w:w="2664"/>
        <w:gridCol w:w="5400"/>
      </w:tblGrid>
      <w:tr>
        <w:trPr>
          <w:tblHeader w:val="true"/>
        </w:trPr>
        <w:tc>
          <w:tcPr>
            <w:tcW w:type="dxa" w:w="3298"/>
            <w:vAlign w:val="center"/>
            <w:shd w:fill="173045"/>
          </w:tcPr>
          <w:p>
            <w:pPr>
              <w:spacing w:after="0" w:line="245" w:lineRule="auto"/>
            </w:pPr>
            <w:r/>
            <w:r>
              <w:rPr>
                <w:rFonts w:ascii="Aptos" w:hAnsi="Aptos"/>
                <w:b/>
                <w:color w:val="FFFFFF"/>
                <w:sz w:val="16"/>
              </w:rPr>
              <w:t>Segment</w:t>
            </w:r>
          </w:p>
        </w:tc>
        <w:tc>
          <w:tcPr>
            <w:tcW w:type="dxa" w:w="3298"/>
            <w:vAlign w:val="center"/>
            <w:shd w:fill="173045"/>
          </w:tcPr>
          <w:p>
            <w:pPr>
              <w:spacing w:after="0" w:line="245" w:lineRule="auto"/>
            </w:pPr>
            <w:r/>
            <w:r>
              <w:rPr>
                <w:rFonts w:ascii="Aptos" w:hAnsi="Aptos"/>
                <w:b/>
                <w:color w:val="FFFFFF"/>
                <w:sz w:val="16"/>
              </w:rPr>
              <w:t>Representatives</w:t>
            </w:r>
          </w:p>
        </w:tc>
        <w:tc>
          <w:tcPr>
            <w:tcW w:type="dxa" w:w="3298"/>
            <w:vAlign w:val="center"/>
            <w:shd w:fill="173045"/>
          </w:tcPr>
          <w:p>
            <w:pPr>
              <w:spacing w:after="0" w:line="245" w:lineRule="auto"/>
            </w:pPr>
            <w:r/>
            <w:r>
              <w:rPr>
                <w:rFonts w:ascii="Aptos" w:hAnsi="Aptos"/>
                <w:b/>
                <w:color w:val="FFFFFF"/>
                <w:sz w:val="16"/>
              </w:rPr>
              <w:t>Evidence-backed scope</w:t>
            </w:r>
          </w:p>
        </w:tc>
      </w:tr>
      <w:tr>
        <w:trPr>
          <w:cantSplit/>
        </w:trPr>
        <w:tc>
          <w:tcPr>
            <w:tcW w:type="dxa" w:w="1728"/>
            <w:vAlign w:val="center"/>
          </w:tcPr>
          <w:p>
            <w:pPr>
              <w:spacing w:after="0" w:line="245" w:lineRule="auto"/>
            </w:pPr>
            <w:r/>
            <w:r>
              <w:rPr>
                <w:rFonts w:ascii="Aptos" w:hAnsi="Aptos"/>
                <w:b w:val="0"/>
                <w:color w:val="173045"/>
                <w:sz w:val="16"/>
              </w:rPr>
              <w:t>Critical-reagent specialty</w:t>
            </w:r>
          </w:p>
        </w:tc>
        <w:tc>
          <w:tcPr>
            <w:tcW w:type="dxa" w:w="2664"/>
            <w:vAlign w:val="center"/>
          </w:tcPr>
          <w:p>
            <w:pPr>
              <w:spacing w:after="0" w:line="245" w:lineRule="auto"/>
            </w:pPr>
            <w:r/>
            <w:r>
              <w:rPr>
                <w:rFonts w:ascii="Aptos" w:hAnsi="Aptos"/>
                <w:b w:val="0"/>
                <w:color w:val="173045"/>
                <w:sz w:val="16"/>
              </w:rPr>
              <w:t>Cenevo Mosaic; B2S LCM+ implementation</w:t>
            </w:r>
          </w:p>
        </w:tc>
        <w:tc>
          <w:tcPr>
            <w:tcW w:type="dxa" w:w="5400"/>
            <w:vAlign w:val="center"/>
          </w:tcPr>
          <w:p>
            <w:pPr>
              <w:spacing w:after="0" w:line="245" w:lineRule="auto"/>
            </w:pPr>
            <w:r/>
            <w:r>
              <w:rPr>
                <w:rFonts w:ascii="Aptos" w:hAnsi="Aptos"/>
                <w:b w:val="0"/>
                <w:color w:val="173045"/>
                <w:sz w:val="16"/>
              </w:rPr>
              <w:t>Qualified reagent traceability, aliquot lineage and movement workflows; B2S is a published custom implementation, not necessarily an off-the-shelf offering. [T07,R01,R02]</w:t>
            </w:r>
          </w:p>
        </w:tc>
      </w:tr>
      <w:tr>
        <w:trPr>
          <w:cantSplit/>
        </w:trPr>
        <w:tc>
          <w:tcPr>
            <w:tcW w:type="dxa" w:w="1728"/>
            <w:vAlign w:val="center"/>
            <w:shd w:fill="F0F5F7"/>
          </w:tcPr>
          <w:p>
            <w:pPr>
              <w:spacing w:after="0" w:line="245" w:lineRule="auto"/>
            </w:pPr>
            <w:r/>
            <w:r>
              <w:rPr>
                <w:rFonts w:ascii="Aptos" w:hAnsi="Aptos"/>
                <w:b w:val="0"/>
                <w:color w:val="173045"/>
                <w:sz w:val="16"/>
              </w:rPr>
              <w:t>QC / bioanalytical LIMS</w:t>
            </w:r>
          </w:p>
        </w:tc>
        <w:tc>
          <w:tcPr>
            <w:tcW w:type="dxa" w:w="2664"/>
            <w:vAlign w:val="center"/>
            <w:shd w:fill="F0F5F7"/>
          </w:tcPr>
          <w:p>
            <w:pPr>
              <w:spacing w:after="0" w:line="245" w:lineRule="auto"/>
            </w:pPr>
            <w:r/>
            <w:r>
              <w:rPr>
                <w:rFonts w:ascii="Aptos" w:hAnsi="Aptos"/>
                <w:b w:val="0"/>
                <w:color w:val="173045"/>
                <w:sz w:val="16"/>
              </w:rPr>
              <w:t>Veeva Vault LIMS; LabWare; Thermo SampleManager; LabVantage</w:t>
            </w:r>
          </w:p>
        </w:tc>
        <w:tc>
          <w:tcPr>
            <w:tcW w:type="dxa" w:w="5400"/>
            <w:vAlign w:val="center"/>
            <w:shd w:fill="F0F5F7"/>
          </w:tcPr>
          <w:p>
            <w:pPr>
              <w:spacing w:after="0" w:line="245" w:lineRule="auto"/>
            </w:pPr>
            <w:r/>
            <w:r>
              <w:rPr>
                <w:rFonts w:ascii="Aptos" w:hAnsi="Aptos"/>
                <w:b w:val="0"/>
                <w:color w:val="173045"/>
                <w:sz w:val="16"/>
              </w:rPr>
              <w:t>Stock and testing context; degree of reagent-lifecycle support varies by product and implementation. [T01,T03,T04,T08]</w:t>
            </w:r>
          </w:p>
        </w:tc>
      </w:tr>
      <w:tr>
        <w:trPr>
          <w:cantSplit/>
        </w:trPr>
        <w:tc>
          <w:tcPr>
            <w:tcW w:type="dxa" w:w="1728"/>
            <w:vAlign w:val="center"/>
          </w:tcPr>
          <w:p>
            <w:pPr>
              <w:spacing w:after="0" w:line="245" w:lineRule="auto"/>
            </w:pPr>
            <w:r/>
            <w:r>
              <w:rPr>
                <w:rFonts w:ascii="Aptos" w:hAnsi="Aptos"/>
                <w:b w:val="0"/>
                <w:color w:val="173045"/>
                <w:sz w:val="16"/>
              </w:rPr>
              <w:t>Scientific inventory / ELN</w:t>
            </w:r>
          </w:p>
        </w:tc>
        <w:tc>
          <w:tcPr>
            <w:tcW w:type="dxa" w:w="2664"/>
            <w:vAlign w:val="center"/>
          </w:tcPr>
          <w:p>
            <w:pPr>
              <w:spacing w:after="0" w:line="245" w:lineRule="auto"/>
            </w:pPr>
            <w:r/>
            <w:r>
              <w:rPr>
                <w:rFonts w:ascii="Aptos" w:hAnsi="Aptos"/>
                <w:b w:val="0"/>
                <w:color w:val="173045"/>
                <w:sz w:val="16"/>
              </w:rPr>
              <w:t>Benchling; SciNote</w:t>
            </w:r>
          </w:p>
        </w:tc>
        <w:tc>
          <w:tcPr>
            <w:tcW w:type="dxa" w:w="5400"/>
            <w:vAlign w:val="center"/>
          </w:tcPr>
          <w:p>
            <w:pPr>
              <w:spacing w:after="0" w:line="245" w:lineRule="auto"/>
            </w:pPr>
            <w:r/>
            <w:r>
              <w:rPr>
                <w:rFonts w:ascii="Aptos" w:hAnsi="Aptos"/>
                <w:b w:val="0"/>
                <w:color w:val="173045"/>
                <w:sz w:val="16"/>
              </w:rPr>
              <w:t>Research entity, samples, reagent stocks and experiment linkage. [T05,D04]</w:t>
            </w:r>
          </w:p>
        </w:tc>
      </w:tr>
      <w:tr>
        <w:trPr>
          <w:cantSplit/>
        </w:trPr>
        <w:tc>
          <w:tcPr>
            <w:tcW w:type="dxa" w:w="1728"/>
            <w:vAlign w:val="center"/>
            <w:shd w:fill="F0F5F7"/>
          </w:tcPr>
          <w:p>
            <w:pPr>
              <w:spacing w:after="0" w:line="245" w:lineRule="auto"/>
            </w:pPr>
            <w:r/>
            <w:r>
              <w:rPr>
                <w:rFonts w:ascii="Aptos" w:hAnsi="Aptos"/>
                <w:b w:val="0"/>
                <w:color w:val="173045"/>
                <w:sz w:val="16"/>
              </w:rPr>
              <w:t>Procurement / materials</w:t>
            </w:r>
          </w:p>
        </w:tc>
        <w:tc>
          <w:tcPr>
            <w:tcW w:type="dxa" w:w="2664"/>
            <w:vAlign w:val="center"/>
            <w:shd w:fill="F0F5F7"/>
          </w:tcPr>
          <w:p>
            <w:pPr>
              <w:spacing w:after="0" w:line="245" w:lineRule="auto"/>
            </w:pPr>
            <w:r/>
            <w:r>
              <w:rPr>
                <w:rFonts w:ascii="Aptos" w:hAnsi="Aptos"/>
                <w:b w:val="0"/>
                <w:color w:val="173045"/>
                <w:sz w:val="16"/>
              </w:rPr>
              <w:t>SAP; Labviva</w:t>
            </w:r>
          </w:p>
        </w:tc>
        <w:tc>
          <w:tcPr>
            <w:tcW w:type="dxa" w:w="5400"/>
            <w:vAlign w:val="center"/>
            <w:shd w:fill="F0F5F7"/>
          </w:tcPr>
          <w:p>
            <w:pPr>
              <w:spacing w:after="0" w:line="245" w:lineRule="auto"/>
            </w:pPr>
            <w:r/>
            <w:r>
              <w:rPr>
                <w:rFonts w:ascii="Aptos" w:hAnsi="Aptos"/>
                <w:b w:val="0"/>
                <w:color w:val="173045"/>
                <w:sz w:val="16"/>
              </w:rPr>
              <w:t>Purchased stock, batch, inventory and replenishment workflows, not necessarily method authorization. [T06,D01]</w:t>
            </w:r>
          </w:p>
        </w:tc>
      </w:tr>
      <w:tr>
        <w:trPr>
          <w:cantSplit/>
        </w:trPr>
        <w:tc>
          <w:tcPr>
            <w:tcW w:type="dxa" w:w="1728"/>
            <w:vAlign w:val="center"/>
          </w:tcPr>
          <w:p>
            <w:pPr>
              <w:spacing w:after="0" w:line="245" w:lineRule="auto"/>
            </w:pPr>
            <w:r/>
            <w:r>
              <w:rPr>
                <w:rFonts w:ascii="Aptos" w:hAnsi="Aptos"/>
                <w:b w:val="0"/>
                <w:color w:val="173045"/>
                <w:sz w:val="16"/>
              </w:rPr>
              <w:t>QC capacity / planning</w:t>
            </w:r>
          </w:p>
        </w:tc>
        <w:tc>
          <w:tcPr>
            <w:tcW w:type="dxa" w:w="2664"/>
            <w:vAlign w:val="center"/>
          </w:tcPr>
          <w:p>
            <w:pPr>
              <w:spacing w:after="0" w:line="245" w:lineRule="auto"/>
            </w:pPr>
            <w:r/>
            <w:r>
              <w:rPr>
                <w:rFonts w:ascii="Aptos" w:hAnsi="Aptos"/>
                <w:b w:val="0"/>
                <w:color w:val="173045"/>
                <w:sz w:val="16"/>
              </w:rPr>
              <w:t>Bluecrux Binocs</w:t>
            </w:r>
          </w:p>
        </w:tc>
        <w:tc>
          <w:tcPr>
            <w:tcW w:type="dxa" w:w="5400"/>
            <w:vAlign w:val="center"/>
          </w:tcPr>
          <w:p>
            <w:pPr>
              <w:spacing w:after="0" w:line="245" w:lineRule="auto"/>
            </w:pPr>
            <w:r/>
            <w:r>
              <w:rPr>
                <w:rFonts w:ascii="Aptos" w:hAnsi="Aptos"/>
                <w:b w:val="0"/>
                <w:color w:val="173045"/>
                <w:sz w:val="16"/>
              </w:rPr>
            </w:r>
          </w:p>
        </w:tc>
      </w:tr>
    </w:tbl>
    <w:p>
      <w:pPr>
        <w:spacing w:after="20"/>
      </w:pPr>
    </w:p>
    <w:p>
      <w:pPr>
        <w:pStyle w:val="Heading2"/>
      </w:pPr>
      <w:r>
        <w:t>4.1  |  Comparative assessment criteria</w:t>
      </w:r>
    </w:p>
    <w:p>
      <w:r>
        <w:t>For manufacturing use, documentation should show whether a product records: (1) scientific identity and method applicability; (2) reagent lot genealogy and approval status; (3) aliquot/parent relationships and environmental excursions; (4) retest and qualification evidence, including bridging; (5) laboratory test and instrument usage; (6) lifecycle changes and audit records; (7) inventory ownership across internal sites and CROs; and (8) interfaces to purchasing and material stock. These criteria are derived from regulatory controls and published implementations. [G01,G02,R01–R04,T01,T07]</w:t>
      </w:r>
    </w:p>
    <w:p>
      <w:pPr>
        <w:pStyle w:val="Heading2"/>
      </w:pPr>
      <w:r>
        <w:t>4.2  |  Boundary between customer adoption and vendor functionality</w:t>
      </w:r>
    </w:p>
    <w:p>
      <w:r>
        <w:t>Evidence that a vendor supports a feature is different from evidence that a customer has licensed, configured, validated and placed that feature into operation. Similarly, a vendor’s named logo set establishes a commercial association but not the exact product/module, operating site, assay domain or present deployment status. [P01,P11,T01–T04]</w:t>
      </w:r>
    </w:p>
    <w:p>
      <w:pPr>
        <w:pStyle w:val="Heading1"/>
      </w:pPr>
      <w:r>
        <w:t>5  |  Startup and disruptor landscape</w:t>
      </w:r>
    </w:p>
    <w:p>
      <w:r>
        <w:t>The following entries are product/company disclosures, not endorsements. Where outcomes are asserted only by a supplier, they are not treated as independently measured manufacturing outcomes.</w:t>
      </w:r>
    </w:p>
    <w:tbl>
      <w:tblPr>
        <w:tblStyle w:val="TableGrid"/>
        <w:tblW w:type="auto" w:w="0"/>
        <w:jc w:val="center"/>
        <w:tblLayout w:type="fixed"/>
        <w:tblLook w:firstColumn="1" w:firstRow="1" w:lastColumn="0" w:lastRow="0" w:noHBand="0" w:noVBand="1" w:val="04A0"/>
      </w:tblPr>
      <w:tblGrid>
        <w:gridCol w:w="2016"/>
        <w:gridCol w:w="3888"/>
        <w:gridCol w:w="3888"/>
      </w:tblGrid>
      <w:tr>
        <w:trPr>
          <w:tblHeader w:val="true"/>
        </w:trPr>
        <w:tc>
          <w:tcPr>
            <w:tcW w:type="dxa" w:w="3298"/>
            <w:vAlign w:val="center"/>
            <w:shd w:fill="173045"/>
          </w:tcPr>
          <w:p>
            <w:pPr>
              <w:spacing w:after="0" w:line="245" w:lineRule="auto"/>
            </w:pPr>
            <w:r/>
            <w:r>
              <w:rPr>
                <w:rFonts w:ascii="Aptos" w:hAnsi="Aptos"/>
                <w:b/>
                <w:color w:val="FFFFFF"/>
                <w:sz w:val="16"/>
              </w:rPr>
              <w:t>Company / offering</w:t>
            </w:r>
          </w:p>
        </w:tc>
        <w:tc>
          <w:tcPr>
            <w:tcW w:type="dxa" w:w="3298"/>
            <w:vAlign w:val="center"/>
            <w:shd w:fill="173045"/>
          </w:tcPr>
          <w:p>
            <w:pPr>
              <w:spacing w:after="0" w:line="245" w:lineRule="auto"/>
            </w:pPr>
            <w:r/>
            <w:r>
              <w:rPr>
                <w:rFonts w:ascii="Aptos" w:hAnsi="Aptos"/>
                <w:b/>
                <w:color w:val="FFFFFF"/>
                <w:sz w:val="16"/>
              </w:rPr>
              <w:t>Documented approach</w:t>
            </w:r>
          </w:p>
        </w:tc>
        <w:tc>
          <w:tcPr>
            <w:tcW w:type="dxa" w:w="3298"/>
            <w:vAlign w:val="center"/>
            <w:shd w:fill="173045"/>
          </w:tcPr>
          <w:p>
            <w:pPr>
              <w:spacing w:after="0" w:line="245" w:lineRule="auto"/>
            </w:pPr>
            <w:r/>
            <w:r>
              <w:rPr>
                <w:rFonts w:ascii="Aptos" w:hAnsi="Aptos"/>
                <w:b/>
                <w:color w:val="FFFFFF"/>
                <w:sz w:val="16"/>
              </w:rPr>
              <w:t>Evidence boundary</w:t>
            </w:r>
          </w:p>
        </w:tc>
      </w:tr>
      <w:tr>
        <w:trPr>
          <w:cantSplit/>
        </w:trPr>
        <w:tc>
          <w:tcPr>
            <w:tcW w:type="dxa" w:w="2016"/>
            <w:vAlign w:val="center"/>
          </w:tcPr>
          <w:p>
            <w:pPr>
              <w:spacing w:after="0" w:line="245" w:lineRule="auto"/>
            </w:pPr>
            <w:r/>
            <w:r>
              <w:rPr>
                <w:rFonts w:ascii="Aptos" w:hAnsi="Aptos"/>
                <w:b w:val="0"/>
                <w:color w:val="173045"/>
                <w:sz w:val="16"/>
              </w:rPr>
              <w:t>Labviva / IMS</w:t>
            </w:r>
          </w:p>
        </w:tc>
        <w:tc>
          <w:tcPr>
            <w:tcW w:type="dxa" w:w="3888"/>
            <w:vAlign w:val="center"/>
          </w:tcPr>
          <w:p>
            <w:pPr>
              <w:spacing w:after="0" w:line="245" w:lineRule="auto"/>
            </w:pPr>
            <w:r/>
            <w:r>
              <w:rPr>
                <w:rFonts w:ascii="Aptos" w:hAnsi="Aptos"/>
                <w:b w:val="0"/>
                <w:color w:val="173045"/>
                <w:sz w:val="16"/>
              </w:rPr>
              <w:t>Real-time shared laboratory inventory integrated with purchasing and supplier catalogue, launched Sep 2024. [D01]</w:t>
            </w:r>
          </w:p>
        </w:tc>
        <w:tc>
          <w:tcPr>
            <w:tcW w:type="dxa" w:w="3888"/>
            <w:vAlign w:val="center"/>
          </w:tcPr>
          <w:p>
            <w:pPr>
              <w:spacing w:after="0" w:line="245" w:lineRule="auto"/>
            </w:pPr>
            <w:r/>
            <w:r>
              <w:rPr>
                <w:rFonts w:ascii="Aptos" w:hAnsi="Aptos"/>
                <w:b w:val="0"/>
                <w:color w:val="173045"/>
                <w:sz w:val="16"/>
              </w:rPr>
              <w:t>Procure-to-stock, not qualification of biological reagent lots for a controlled assay.</w:t>
            </w:r>
          </w:p>
        </w:tc>
      </w:tr>
      <w:tr>
        <w:trPr>
          <w:cantSplit/>
        </w:trPr>
        <w:tc>
          <w:tcPr>
            <w:tcW w:type="dxa" w:w="2016"/>
            <w:vAlign w:val="center"/>
            <w:shd w:fill="F0F5F7"/>
          </w:tcPr>
          <w:p>
            <w:pPr>
              <w:spacing w:after="0" w:line="245" w:lineRule="auto"/>
            </w:pPr>
            <w:r/>
            <w:r>
              <w:rPr>
                <w:rFonts w:ascii="Aptos" w:hAnsi="Aptos"/>
                <w:b w:val="0"/>
                <w:color w:val="173045"/>
                <w:sz w:val="16"/>
              </w:rPr>
              <w:t>Scispot / Location Manager</w:t>
            </w:r>
          </w:p>
        </w:tc>
        <w:tc>
          <w:tcPr>
            <w:tcW w:type="dxa" w:w="3888"/>
            <w:vAlign w:val="center"/>
            <w:shd w:fill="F0F5F7"/>
          </w:tcPr>
          <w:p>
            <w:pPr>
              <w:spacing w:after="0" w:line="245" w:lineRule="auto"/>
            </w:pPr>
            <w:r/>
            <w:r>
              <w:rPr>
                <w:rFonts w:ascii="Aptos" w:hAnsi="Aptos"/>
                <w:b w:val="0"/>
                <w:color w:val="173045"/>
                <w:sz w:val="16"/>
              </w:rPr>
            </w:r>
          </w:p>
        </w:tc>
        <w:tc>
          <w:tcPr>
            <w:tcW w:type="dxa" w:w="3888"/>
            <w:vAlign w:val="center"/>
            <w:shd w:fill="F0F5F7"/>
          </w:tcPr>
          <w:p>
            <w:pPr>
              <w:spacing w:after="0" w:line="245" w:lineRule="auto"/>
            </w:pPr>
            <w:r/>
            <w:r>
              <w:rPr>
                <w:rFonts w:ascii="Aptos" w:hAnsi="Aptos"/>
                <w:b w:val="0"/>
                <w:color w:val="173045"/>
                <w:sz w:val="16"/>
              </w:rPr>
              <w:t>AI/performance and GxP-readiness claims are supplier-origin; independent QC deployment unsubstantiated.</w:t>
            </w:r>
          </w:p>
        </w:tc>
      </w:tr>
      <w:tr>
        <w:trPr>
          <w:cantSplit/>
        </w:trPr>
        <w:tc>
          <w:tcPr>
            <w:tcW w:type="dxa" w:w="2016"/>
            <w:vAlign w:val="center"/>
          </w:tcPr>
          <w:p>
            <w:pPr>
              <w:spacing w:after="0" w:line="245" w:lineRule="auto"/>
            </w:pPr>
            <w:r/>
            <w:r>
              <w:rPr>
                <w:rFonts w:ascii="Aptos" w:hAnsi="Aptos"/>
                <w:b w:val="0"/>
                <w:color w:val="173045"/>
                <w:sz w:val="16"/>
              </w:rPr>
              <w:t>nvisualAI</w:t>
            </w:r>
          </w:p>
        </w:tc>
        <w:tc>
          <w:tcPr>
            <w:tcW w:type="dxa" w:w="3888"/>
            <w:vAlign w:val="center"/>
          </w:tcPr>
          <w:p>
            <w:pPr>
              <w:spacing w:after="0" w:line="245" w:lineRule="auto"/>
            </w:pPr>
            <w:r/>
            <w:r>
              <w:rPr>
                <w:rFonts w:ascii="Aptos" w:hAnsi="Aptos"/>
                <w:b w:val="0"/>
                <w:color w:val="173045"/>
                <w:sz w:val="16"/>
              </w:rPr>
              <w:t>Passive RFID tags/readers for consumable movement and restock signals. [D03]</w:t>
            </w:r>
          </w:p>
        </w:tc>
        <w:tc>
          <w:tcPr>
            <w:tcW w:type="dxa" w:w="3888"/>
            <w:vAlign w:val="center"/>
          </w:tcPr>
          <w:p>
            <w:pPr>
              <w:spacing w:after="0" w:line="245" w:lineRule="auto"/>
            </w:pPr>
            <w:r/>
            <w:r>
              <w:rPr>
                <w:rFonts w:ascii="Aptos" w:hAnsi="Aptos"/>
                <w:b w:val="0"/>
                <w:color w:val="173045"/>
                <w:sz w:val="16"/>
              </w:rPr>
              <w:t>Physical stock detection is not proof of container sterility, biological potency or assay qualification.</w:t>
            </w:r>
          </w:p>
        </w:tc>
      </w:tr>
      <w:tr>
        <w:trPr>
          <w:cantSplit/>
        </w:trPr>
        <w:tc>
          <w:tcPr>
            <w:tcW w:type="dxa" w:w="2016"/>
            <w:vAlign w:val="center"/>
            <w:shd w:fill="F0F5F7"/>
          </w:tcPr>
          <w:p>
            <w:pPr>
              <w:spacing w:after="0" w:line="245" w:lineRule="auto"/>
            </w:pPr>
            <w:r/>
            <w:r>
              <w:rPr>
                <w:rFonts w:ascii="Aptos" w:hAnsi="Aptos"/>
                <w:b w:val="0"/>
                <w:color w:val="173045"/>
                <w:sz w:val="16"/>
              </w:rPr>
              <w:t>SciNote</w:t>
            </w:r>
          </w:p>
        </w:tc>
        <w:tc>
          <w:tcPr>
            <w:tcW w:type="dxa" w:w="3888"/>
            <w:vAlign w:val="center"/>
            <w:shd w:fill="F0F5F7"/>
          </w:tcPr>
          <w:p>
            <w:pPr>
              <w:spacing w:after="0" w:line="245" w:lineRule="auto"/>
            </w:pPr>
            <w:r/>
            <w:r>
              <w:rPr>
                <w:rFonts w:ascii="Aptos" w:hAnsi="Aptos"/>
                <w:b w:val="0"/>
                <w:color w:val="173045"/>
                <w:sz w:val="16"/>
              </w:rPr>
              <w:t>Experimental tasks linked to reagents, location, stock alerts and usage consumption. [D04]</w:t>
            </w:r>
          </w:p>
        </w:tc>
        <w:tc>
          <w:tcPr>
            <w:tcW w:type="dxa" w:w="3888"/>
            <w:vAlign w:val="center"/>
            <w:shd w:fill="F0F5F7"/>
          </w:tcPr>
          <w:p>
            <w:pPr>
              <w:spacing w:after="0" w:line="245" w:lineRule="auto"/>
            </w:pPr>
            <w:r/>
            <w:r>
              <w:rPr>
                <w:rFonts w:ascii="Aptos" w:hAnsi="Aptos"/>
                <w:b w:val="0"/>
                <w:color w:val="173045"/>
                <w:sz w:val="16"/>
              </w:rPr>
              <w:t>R&amp;D traceability functionality; method-approved critical reagent status must be separately established.</w:t>
            </w:r>
          </w:p>
        </w:tc>
      </w:tr>
      <w:tr>
        <w:trPr>
          <w:cantSplit/>
        </w:trPr>
        <w:tc>
          <w:tcPr>
            <w:tcW w:type="dxa" w:w="2016"/>
            <w:vAlign w:val="center"/>
          </w:tcPr>
          <w:p>
            <w:pPr>
              <w:spacing w:after="0" w:line="245" w:lineRule="auto"/>
            </w:pPr>
            <w:r/>
            <w:r>
              <w:rPr>
                <w:rFonts w:ascii="Aptos" w:hAnsi="Aptos"/>
                <w:b w:val="0"/>
                <w:color w:val="173045"/>
                <w:sz w:val="16"/>
              </w:rPr>
              <w:t>Scispot / CellChorus example</w:t>
            </w:r>
          </w:p>
        </w:tc>
        <w:tc>
          <w:tcPr>
            <w:tcW w:type="dxa" w:w="3888"/>
            <w:vAlign w:val="center"/>
          </w:tcPr>
          <w:p>
            <w:pPr>
              <w:spacing w:after="0" w:line="245" w:lineRule="auto"/>
            </w:pPr>
            <w:r/>
            <w:r>
              <w:rPr>
                <w:rFonts w:ascii="Aptos" w:hAnsi="Aptos"/>
                <w:b w:val="0"/>
                <w:color w:val="173045"/>
                <w:sz w:val="16"/>
              </w:rPr>
              <w:t>Vendor customer story describes configurable samples and stock management in a smaller biotech context. [D05]</w:t>
            </w:r>
          </w:p>
        </w:tc>
        <w:tc>
          <w:tcPr>
            <w:tcW w:type="dxa" w:w="3888"/>
            <w:vAlign w:val="center"/>
          </w:tcPr>
          <w:p>
            <w:pPr>
              <w:spacing w:after="0" w:line="245" w:lineRule="auto"/>
            </w:pPr>
            <w:r/>
            <w:r>
              <w:rPr>
                <w:rFonts w:ascii="Aptos" w:hAnsi="Aptos"/>
                <w:b w:val="0"/>
                <w:color w:val="173045"/>
                <w:sz w:val="16"/>
              </w:rPr>
              <w:t>Named customer but not proof of commercial GMP critical-reagent inventory.</w:t>
            </w:r>
          </w:p>
        </w:tc>
      </w:tr>
    </w:tbl>
    <w:p>
      <w:pPr>
        <w:spacing w:after="20"/>
      </w:pPr>
    </w:p>
    <w:p>
      <w:pPr>
        <w:pStyle w:val="Heading2"/>
      </w:pPr>
      <w:r>
        <w:t>5.1  |  Distinct innovation pathways</w:t>
      </w:r>
    </w:p>
    <w:p>
      <w:r>
        <w:t>The newer products emphasize better physical visibility (RFID), easier freezer/item discovery, procurement connectivity, and integration of inventory with research records. Those are operational advances; they do not on their own validate reagent equivalence, stability or method suitability. [D01–D04,R03,G01]</w:t>
      </w:r>
    </w:p>
    <w:p>
      <w:pPr>
        <w:pStyle w:val="Heading1"/>
      </w:pPr>
      <w:r>
        <w:t>6  |  Published research: evidence for the next capability wave</w:t>
      </w:r>
    </w:p>
    <w:tbl>
      <w:tblPr>
        <w:tblStyle w:val="TableGrid"/>
        <w:tblW w:type="auto" w:w="0"/>
        <w:jc w:val="center"/>
        <w:tblLayout w:type="fixed"/>
        <w:tblLook w:firstColumn="1" w:firstRow="1" w:lastColumn="0" w:lastRow="0" w:noHBand="0" w:noVBand="1" w:val="04A0"/>
      </w:tblPr>
      <w:tblGrid>
        <w:gridCol w:w="2016"/>
        <w:gridCol w:w="3744"/>
        <w:gridCol w:w="4032"/>
      </w:tblGrid>
      <w:tr>
        <w:trPr>
          <w:tblHeader w:val="true"/>
        </w:trPr>
        <w:tc>
          <w:tcPr>
            <w:tcW w:type="dxa" w:w="3298"/>
            <w:vAlign w:val="center"/>
            <w:shd w:fill="173045"/>
          </w:tcPr>
          <w:p>
            <w:pPr>
              <w:spacing w:after="0" w:line="245" w:lineRule="auto"/>
            </w:pPr>
            <w:r/>
            <w:r>
              <w:rPr>
                <w:rFonts w:ascii="Aptos" w:hAnsi="Aptos"/>
                <w:b/>
                <w:color w:val="FFFFFF"/>
                <w:sz w:val="16"/>
              </w:rPr>
              <w:t>Research publication</w:t>
            </w:r>
          </w:p>
        </w:tc>
        <w:tc>
          <w:tcPr>
            <w:tcW w:type="dxa" w:w="3298"/>
            <w:vAlign w:val="center"/>
            <w:shd w:fill="173045"/>
          </w:tcPr>
          <w:p>
            <w:pPr>
              <w:spacing w:after="0" w:line="245" w:lineRule="auto"/>
            </w:pPr>
            <w:r/>
            <w:r>
              <w:rPr>
                <w:rFonts w:ascii="Aptos" w:hAnsi="Aptos"/>
                <w:b/>
                <w:color w:val="FFFFFF"/>
                <w:sz w:val="16"/>
              </w:rPr>
              <w:t>What was actually demonstrated / described</w:t>
            </w:r>
          </w:p>
        </w:tc>
        <w:tc>
          <w:tcPr>
            <w:tcW w:type="dxa" w:w="3298"/>
            <w:vAlign w:val="center"/>
            <w:shd w:fill="173045"/>
          </w:tcPr>
          <w:p>
            <w:pPr>
              <w:spacing w:after="0" w:line="245" w:lineRule="auto"/>
            </w:pPr>
            <w:r/>
            <w:r>
              <w:rPr>
                <w:rFonts w:ascii="Aptos" w:hAnsi="Aptos"/>
                <w:b/>
                <w:color w:val="FFFFFF"/>
                <w:sz w:val="16"/>
              </w:rPr>
              <w:t>Manufacturing relevance</w:t>
            </w:r>
          </w:p>
        </w:tc>
      </w:tr>
      <w:tr>
        <w:trPr>
          <w:cantSplit/>
        </w:trPr>
        <w:tc>
          <w:tcPr>
            <w:tcW w:type="dxa" w:w="2016"/>
            <w:vAlign w:val="center"/>
          </w:tcPr>
          <w:p>
            <w:pPr>
              <w:spacing w:after="0" w:line="245" w:lineRule="auto"/>
            </w:pPr>
            <w:r/>
            <w:r>
              <w:rPr>
                <w:rFonts w:ascii="Aptos" w:hAnsi="Aptos"/>
                <w:b w:val="0"/>
                <w:color w:val="173045"/>
                <w:sz w:val="16"/>
              </w:rPr>
              <w:t>Genentech / 2011 [P02]</w:t>
            </w:r>
          </w:p>
        </w:tc>
        <w:tc>
          <w:tcPr>
            <w:tcW w:type="dxa" w:w="3744"/>
            <w:vAlign w:val="center"/>
          </w:tcPr>
          <w:p>
            <w:pPr>
              <w:spacing w:after="0" w:line="245" w:lineRule="auto"/>
            </w:pPr>
            <w:r/>
            <w:r>
              <w:rPr>
                <w:rFonts w:ascii="Aptos" w:hAnsi="Aptos"/>
                <w:b w:val="0"/>
                <w:color w:val="173045"/>
                <w:sz w:val="16"/>
              </w:rPr>
              <w:t>Internal CritRS workflow for critical protein reagent production, identity characterization and traceable delivery.</w:t>
            </w:r>
          </w:p>
        </w:tc>
        <w:tc>
          <w:tcPr>
            <w:tcW w:type="dxa" w:w="4032"/>
            <w:vAlign w:val="center"/>
          </w:tcPr>
          <w:p>
            <w:pPr>
              <w:spacing w:after="0" w:line="245" w:lineRule="auto"/>
            </w:pPr>
            <w:r/>
            <w:r>
              <w:rPr>
                <w:rFonts w:ascii="Aptos" w:hAnsi="Aptos"/>
                <w:b w:val="0"/>
                <w:color w:val="173045"/>
                <w:sz w:val="16"/>
              </w:rPr>
              <w:t>Dedicated scientific identity and release documentation can coexist with physical inventory.</w:t>
            </w:r>
          </w:p>
        </w:tc>
      </w:tr>
      <w:tr>
        <w:trPr>
          <w:cantSplit/>
        </w:trPr>
        <w:tc>
          <w:tcPr>
            <w:tcW w:type="dxa" w:w="2016"/>
            <w:vAlign w:val="center"/>
            <w:shd w:fill="F0F5F7"/>
          </w:tcPr>
          <w:p>
            <w:pPr>
              <w:spacing w:after="0" w:line="245" w:lineRule="auto"/>
            </w:pPr>
            <w:r/>
            <w:r>
              <w:rPr>
                <w:rFonts w:ascii="Aptos" w:hAnsi="Aptos"/>
                <w:b w:val="0"/>
                <w:color w:val="173045"/>
                <w:sz w:val="16"/>
              </w:rPr>
              <w:t>B2S LCM+ / 2022 [R01,R02]</w:t>
            </w:r>
          </w:p>
        </w:tc>
        <w:tc>
          <w:tcPr>
            <w:tcW w:type="dxa" w:w="3744"/>
            <w:vAlign w:val="center"/>
            <w:shd w:fill="F0F5F7"/>
          </w:tcPr>
          <w:p>
            <w:pPr>
              <w:spacing w:after="0" w:line="245" w:lineRule="auto"/>
            </w:pPr>
            <w:r/>
            <w:r>
              <w:rPr>
                <w:rFonts w:ascii="Aptos" w:hAnsi="Aptos"/>
                <w:b w:val="0"/>
                <w:color w:val="173045"/>
                <w:sz w:val="16"/>
              </w:rPr>
              <w:t>Configured Lockbox LIMS and sponsor/CRO web portal with access permissions, aliquots, requisitions and shipment tracking.</w:t>
            </w:r>
          </w:p>
        </w:tc>
        <w:tc>
          <w:tcPr>
            <w:tcW w:type="dxa" w:w="4032"/>
            <w:vAlign w:val="center"/>
            <w:shd w:fill="F0F5F7"/>
          </w:tcPr>
          <w:p>
            <w:pPr>
              <w:spacing w:after="0" w:line="245" w:lineRule="auto"/>
            </w:pPr>
            <w:r/>
            <w:r>
              <w:rPr>
                <w:rFonts w:ascii="Aptos" w:hAnsi="Aptos"/>
                <w:b w:val="0"/>
                <w:color w:val="173045"/>
                <w:sz w:val="16"/>
              </w:rPr>
              <w:t>Cross-enterprise controlled reagent lifecycle is demonstrable using configured LIMS plus interface.</w:t>
            </w:r>
          </w:p>
        </w:tc>
      </w:tr>
      <w:tr>
        <w:trPr>
          <w:cantSplit/>
        </w:trPr>
        <w:tc>
          <w:tcPr>
            <w:tcW w:type="dxa" w:w="2016"/>
            <w:vAlign w:val="center"/>
          </w:tcPr>
          <w:p>
            <w:pPr>
              <w:spacing w:after="0" w:line="245" w:lineRule="auto"/>
            </w:pPr>
            <w:r/>
            <w:r>
              <w:rPr>
                <w:rFonts w:ascii="Aptos" w:hAnsi="Aptos"/>
                <w:b w:val="0"/>
                <w:color w:val="173045"/>
                <w:sz w:val="16"/>
              </w:rPr>
              <w:t>Lot equivalence / 2023 [R03]</w:t>
            </w:r>
          </w:p>
        </w:tc>
        <w:tc>
          <w:tcPr>
            <w:tcW w:type="dxa" w:w="3744"/>
            <w:vAlign w:val="center"/>
          </w:tcPr>
          <w:p>
            <w:pPr>
              <w:spacing w:after="0" w:line="245" w:lineRule="auto"/>
            </w:pPr>
            <w:r/>
            <w:r>
              <w:rPr>
                <w:rFonts w:ascii="Aptos" w:hAnsi="Aptos"/>
                <w:b w:val="0"/>
                <w:color w:val="173045"/>
                <w:sz w:val="16"/>
              </w:rPr>
              <w:t>Statistical equivalence approach to assessing replacement critical reagent lots.</w:t>
            </w:r>
          </w:p>
        </w:tc>
        <w:tc>
          <w:tcPr>
            <w:tcW w:type="dxa" w:w="4032"/>
            <w:vAlign w:val="center"/>
          </w:tcPr>
          <w:p>
            <w:pPr>
              <w:spacing w:after="0" w:line="245" w:lineRule="auto"/>
            </w:pPr>
            <w:r/>
            <w:r>
              <w:rPr>
                <w:rFonts w:ascii="Aptos" w:hAnsi="Aptos"/>
                <w:b w:val="0"/>
                <w:color w:val="173045"/>
                <w:sz w:val="16"/>
              </w:rPr>
              <w:t>Inventory status alone cannot show lot replacement is analytically acceptable.</w:t>
            </w:r>
          </w:p>
        </w:tc>
      </w:tr>
      <w:tr>
        <w:trPr>
          <w:cantSplit/>
        </w:trPr>
        <w:tc>
          <w:tcPr>
            <w:tcW w:type="dxa" w:w="2016"/>
            <w:vAlign w:val="center"/>
            <w:shd w:fill="F0F5F7"/>
          </w:tcPr>
          <w:p>
            <w:pPr>
              <w:spacing w:after="0" w:line="245" w:lineRule="auto"/>
            </w:pPr>
            <w:r/>
            <w:r>
              <w:rPr>
                <w:rFonts w:ascii="Aptos" w:hAnsi="Aptos"/>
                <w:b w:val="0"/>
                <w:color w:val="173045"/>
                <w:sz w:val="16"/>
              </w:rPr>
              <w:t>Digital lab manager / 2024 [R05]</w:t>
            </w:r>
          </w:p>
        </w:tc>
        <w:tc>
          <w:tcPr>
            <w:tcW w:type="dxa" w:w="3744"/>
            <w:vAlign w:val="center"/>
            <w:shd w:fill="F0F5F7"/>
          </w:tcPr>
          <w:p>
            <w:pPr>
              <w:spacing w:after="0" w:line="245" w:lineRule="auto"/>
            </w:pPr>
            <w:r>
              <w:t>Research-lab knowledge graph and asset-tracking framework, demonstrated for chemical/laboratory operations; not critical biological reagent qualification.</w:t>
            </w:r>
          </w:p>
        </w:tc>
        <w:tc>
          <w:tcPr>
            <w:tcW w:type="dxa" w:w="4032"/>
            <w:vAlign w:val="center"/>
            <w:shd w:fill="F0F5F7"/>
          </w:tcPr>
          <w:p>
            <w:pPr>
              <w:spacing w:after="0" w:line="245" w:lineRule="auto"/>
            </w:pPr>
            <w:r/>
            <w:r>
              <w:rPr>
                <w:rFonts w:ascii="Aptos" w:hAnsi="Aptos"/>
                <w:b w:val="0"/>
                <w:color w:val="173045"/>
                <w:sz w:val="16"/>
              </w:rPr>
              <w:t>Adjacent opportunity for unified laboratory context; not evidence of regulated BCR system.</w:t>
            </w:r>
          </w:p>
        </w:tc>
      </w:tr>
      <w:tr>
        <w:trPr>
          <w:cantSplit/>
        </w:trPr>
        <w:tc>
          <w:tcPr>
            <w:tcW w:type="dxa" w:w="2016"/>
            <w:vAlign w:val="center"/>
          </w:tcPr>
          <w:p>
            <w:pPr>
              <w:spacing w:after="0" w:line="245" w:lineRule="auto"/>
            </w:pPr>
            <w:r/>
            <w:r>
              <w:rPr>
                <w:rFonts w:ascii="Aptos" w:hAnsi="Aptos"/>
                <w:b w:val="0"/>
                <w:color w:val="173045"/>
                <w:sz w:val="16"/>
              </w:rPr>
              <w:t>AAPS ADC working group / July 2026 [R04]</w:t>
            </w:r>
          </w:p>
        </w:tc>
        <w:tc>
          <w:tcPr>
            <w:tcW w:type="dxa" w:w="3744"/>
            <w:vAlign w:val="center"/>
          </w:tcPr>
          <w:p>
            <w:pPr>
              <w:spacing w:after="0" w:line="245" w:lineRule="auto"/>
            </w:pPr>
            <w:r/>
            <w:r>
              <w:rPr>
                <w:rFonts w:ascii="Aptos" w:hAnsi="Aptos"/>
                <w:b w:val="0"/>
                <w:color w:val="173045"/>
                <w:sz w:val="16"/>
              </w:rPr>
              <w:t>Scientific paper describes the analytical complexity of ADCs including reagent lifecycle and comparability considerations.</w:t>
            </w:r>
          </w:p>
        </w:tc>
        <w:tc>
          <w:tcPr>
            <w:tcW w:type="dxa" w:w="4032"/>
            <w:vAlign w:val="center"/>
          </w:tcPr>
          <w:p>
            <w:pPr>
              <w:spacing w:after="0" w:line="245" w:lineRule="auto"/>
            </w:pPr>
            <w:r/>
            <w:r>
              <w:rPr>
                <w:rFonts w:ascii="Aptos" w:hAnsi="Aptos"/>
                <w:b w:val="0"/>
                <w:color w:val="173045"/>
                <w:sz w:val="16"/>
              </w:rPr>
              <w:t>Modality adds analytical dependencies; sources do not name peer software adoption.</w:t>
            </w:r>
          </w:p>
        </w:tc>
      </w:tr>
      <w:tr>
        <w:trPr>
          <w:cantSplit/>
        </w:trPr>
        <w:tc>
          <w:tcPr>
            <w:tcW w:type="dxa" w:w="2016"/>
            <w:vAlign w:val="center"/>
            <w:shd w:fill="F0F5F7"/>
          </w:tcPr>
          <w:p>
            <w:pPr>
              <w:spacing w:after="0" w:line="245" w:lineRule="auto"/>
            </w:pPr>
            <w:r/>
            <w:r>
              <w:rPr>
                <w:rFonts w:ascii="Aptos" w:hAnsi="Aptos"/>
                <w:b w:val="0"/>
                <w:color w:val="173045"/>
                <w:sz w:val="16"/>
              </w:rPr>
              <w:t>LIME / PLOS One May 2026 [R06]</w:t>
            </w:r>
          </w:p>
        </w:tc>
        <w:tc>
          <w:tcPr>
            <w:tcW w:type="dxa" w:w="3744"/>
            <w:vAlign w:val="center"/>
            <w:shd w:fill="F0F5F7"/>
          </w:tcPr>
          <w:p>
            <w:pPr>
              <w:spacing w:after="0" w:line="245" w:lineRule="auto"/>
            </w:pPr>
            <w:r/>
            <w:r>
              <w:rPr>
                <w:rFonts w:ascii="Aptos" w:hAnsi="Aptos"/>
                <w:b w:val="0"/>
                <w:color w:val="173045"/>
                <w:sz w:val="16"/>
              </w:rPr>
              <w:t>Low-cost barcode and cloud-spreadsheet research inventory prototype.</w:t>
            </w:r>
          </w:p>
        </w:tc>
        <w:tc>
          <w:tcPr>
            <w:tcW w:type="dxa" w:w="4032"/>
            <w:vAlign w:val="center"/>
            <w:shd w:fill="F0F5F7"/>
          </w:tcPr>
          <w:p>
            <w:pPr>
              <w:spacing w:after="0" w:line="245" w:lineRule="auto"/>
            </w:pPr>
            <w:r/>
            <w:r>
              <w:rPr>
                <w:rFonts w:ascii="Aptos" w:hAnsi="Aptos"/>
                <w:b w:val="0"/>
                <w:color w:val="173045"/>
                <w:sz w:val="16"/>
              </w:rPr>
              <w:t>Accessible capture innovations; no manufacturing-QC regulated qualification demonstrated.</w:t>
            </w:r>
          </w:p>
        </w:tc>
      </w:tr>
    </w:tbl>
    <w:p>
      <w:pPr>
        <w:spacing w:after="20"/>
      </w:pPr>
    </w:p>
    <w:p>
      <w:pPr>
        <w:pStyle w:val="Heading2"/>
      </w:pPr>
      <w:r>
        <w:t>6.1  |  Implications for provider selection</w:t>
      </w:r>
    </w:p>
    <w:p>
      <w:r>
        <w:t>Published research suggests that the distinguishing capability is the linkage of qualified reagent lot to the applicable analytical method, usage context and scientific supporting evidence, with controlled change and transfer events. Enhancements in location sensing or AI-based search are complementary to, not replacements for, controlled assay authorization. [G01,R02–R04,D02,D03]</w:t>
      </w:r>
    </w:p>
    <w:p>
      <w:pPr>
        <w:pStyle w:val="Heading1"/>
      </w:pPr>
      <w:r>
        <w:t>7  |  Manufacturing requirements and regulatory basis</w:t>
      </w:r>
    </w:p>
    <w:tbl>
      <w:tblPr>
        <w:tblStyle w:val="TableGrid"/>
        <w:tblW w:type="auto" w:w="0"/>
        <w:jc w:val="center"/>
        <w:tblLayout w:type="fixed"/>
        <w:tblLook w:firstColumn="1" w:firstRow="1" w:lastColumn="0" w:lastRow="0" w:noHBand="0" w:noVBand="1" w:val="04A0"/>
      </w:tblPr>
      <w:tblGrid>
        <w:gridCol w:w="1872"/>
        <w:gridCol w:w="6120"/>
        <w:gridCol w:w="1800"/>
      </w:tblGrid>
      <w:tr>
        <w:trPr>
          <w:tblHeader w:val="true"/>
        </w:trPr>
        <w:tc>
          <w:tcPr>
            <w:tcW w:type="dxa" w:w="3298"/>
            <w:vAlign w:val="center"/>
            <w:shd w:fill="173045"/>
          </w:tcPr>
          <w:p>
            <w:pPr>
              <w:spacing w:after="0" w:line="245" w:lineRule="auto"/>
            </w:pPr>
            <w:r/>
            <w:r>
              <w:rPr>
                <w:rFonts w:ascii="Aptos" w:hAnsi="Aptos"/>
                <w:b/>
                <w:color w:val="FFFFFF"/>
                <w:sz w:val="16"/>
              </w:rPr>
              <w:t>Data object / control</w:t>
            </w:r>
          </w:p>
        </w:tc>
        <w:tc>
          <w:tcPr>
            <w:tcW w:type="dxa" w:w="3298"/>
            <w:vAlign w:val="center"/>
            <w:shd w:fill="173045"/>
          </w:tcPr>
          <w:p>
            <w:pPr>
              <w:spacing w:after="0" w:line="245" w:lineRule="auto"/>
            </w:pPr>
            <w:r/>
            <w:r>
              <w:rPr>
                <w:rFonts w:ascii="Aptos" w:hAnsi="Aptos"/>
                <w:b/>
                <w:color w:val="FFFFFF"/>
                <w:sz w:val="16"/>
              </w:rPr>
              <w:t>Purpose</w:t>
            </w:r>
          </w:p>
        </w:tc>
        <w:tc>
          <w:tcPr>
            <w:tcW w:type="dxa" w:w="3298"/>
            <w:vAlign w:val="center"/>
            <w:shd w:fill="173045"/>
          </w:tcPr>
          <w:p>
            <w:pPr>
              <w:spacing w:after="0" w:line="245" w:lineRule="auto"/>
            </w:pPr>
            <w:r/>
            <w:r>
              <w:rPr>
                <w:rFonts w:ascii="Aptos" w:hAnsi="Aptos"/>
                <w:b/>
                <w:color w:val="FFFFFF"/>
                <w:sz w:val="16"/>
              </w:rPr>
              <w:t>Evidence</w:t>
            </w:r>
          </w:p>
        </w:tc>
      </w:tr>
      <w:tr>
        <w:trPr>
          <w:cantSplit/>
        </w:trPr>
        <w:tc>
          <w:tcPr>
            <w:tcW w:type="dxa" w:w="1872"/>
            <w:vAlign w:val="center"/>
          </w:tcPr>
          <w:p>
            <w:pPr>
              <w:spacing w:after="0" w:line="245" w:lineRule="auto"/>
            </w:pPr>
            <w:r/>
            <w:r>
              <w:rPr>
                <w:rFonts w:ascii="Aptos" w:hAnsi="Aptos"/>
                <w:b w:val="0"/>
                <w:color w:val="173045"/>
                <w:sz w:val="16"/>
              </w:rPr>
              <w:t>Reagent master</w:t>
            </w:r>
          </w:p>
        </w:tc>
        <w:tc>
          <w:tcPr>
            <w:tcW w:type="dxa" w:w="6120"/>
            <w:vAlign w:val="center"/>
          </w:tcPr>
          <w:p>
            <w:pPr>
              <w:spacing w:after="0" w:line="245" w:lineRule="auto"/>
            </w:pPr>
            <w:r/>
            <w:r>
              <w:rPr>
                <w:rFonts w:ascii="Aptos" w:hAnsi="Aptos"/>
                <w:b w:val="0"/>
                <w:color w:val="173045"/>
                <w:sz w:val="16"/>
              </w:rPr>
              <w:t>Identity; biological class; supplier/source; ownership; associated assay/method and stability basis.</w:t>
            </w:r>
          </w:p>
        </w:tc>
        <w:tc>
          <w:tcPr>
            <w:tcW w:type="dxa" w:w="1800"/>
            <w:vAlign w:val="center"/>
          </w:tcPr>
          <w:p>
            <w:pPr>
              <w:spacing w:after="0" w:line="245" w:lineRule="auto"/>
            </w:pPr>
            <w:r/>
            <w:r>
              <w:rPr>
                <w:rFonts w:ascii="Aptos" w:hAnsi="Aptos"/>
                <w:b w:val="0"/>
                <w:color w:val="173045"/>
                <w:sz w:val="16"/>
              </w:rPr>
              <w:t>[G01,R02]</w:t>
            </w:r>
          </w:p>
        </w:tc>
      </w:tr>
      <w:tr>
        <w:trPr>
          <w:cantSplit/>
        </w:trPr>
        <w:tc>
          <w:tcPr>
            <w:tcW w:type="dxa" w:w="1872"/>
            <w:vAlign w:val="center"/>
            <w:shd w:fill="F0F5F7"/>
          </w:tcPr>
          <w:p>
            <w:pPr>
              <w:spacing w:after="0" w:line="245" w:lineRule="auto"/>
            </w:pPr>
            <w:r/>
            <w:r>
              <w:rPr>
                <w:rFonts w:ascii="Aptos" w:hAnsi="Aptos"/>
                <w:b w:val="0"/>
                <w:color w:val="173045"/>
                <w:sz w:val="16"/>
              </w:rPr>
              <w:t>Lot and qualification</w:t>
            </w:r>
          </w:p>
        </w:tc>
        <w:tc>
          <w:tcPr>
            <w:tcW w:type="dxa" w:w="6120"/>
            <w:vAlign w:val="center"/>
            <w:shd w:fill="F0F5F7"/>
          </w:tcPr>
          <w:p>
            <w:pPr>
              <w:spacing w:after="0" w:line="245" w:lineRule="auto"/>
            </w:pPr>
            <w:r/>
            <w:r>
              <w:rPr>
                <w:rFonts w:ascii="Aptos" w:hAnsi="Aptos"/>
                <w:b w:val="0"/>
                <w:color w:val="173045"/>
                <w:sz w:val="16"/>
              </w:rPr>
              <w:t>Lot receipt, characterization, qualification, retest, requalification, bridging, use authorization and retirement.</w:t>
            </w:r>
          </w:p>
        </w:tc>
        <w:tc>
          <w:tcPr>
            <w:tcW w:type="dxa" w:w="1800"/>
            <w:vAlign w:val="center"/>
            <w:shd w:fill="F0F5F7"/>
          </w:tcPr>
          <w:p>
            <w:pPr>
              <w:spacing w:after="0" w:line="245" w:lineRule="auto"/>
            </w:pPr>
            <w:r/>
            <w:r>
              <w:rPr>
                <w:rFonts w:ascii="Aptos" w:hAnsi="Aptos"/>
                <w:b w:val="0"/>
                <w:color w:val="173045"/>
                <w:sz w:val="16"/>
              </w:rPr>
              <w:t>[G01,R03,R04]</w:t>
            </w:r>
          </w:p>
        </w:tc>
      </w:tr>
      <w:tr>
        <w:trPr>
          <w:cantSplit/>
        </w:trPr>
        <w:tc>
          <w:tcPr>
            <w:tcW w:type="dxa" w:w="1872"/>
            <w:vAlign w:val="center"/>
          </w:tcPr>
          <w:p>
            <w:pPr>
              <w:spacing w:after="0" w:line="245" w:lineRule="auto"/>
            </w:pPr>
            <w:r/>
            <w:r>
              <w:rPr>
                <w:rFonts w:ascii="Aptos" w:hAnsi="Aptos"/>
                <w:b w:val="0"/>
                <w:color w:val="173045"/>
                <w:sz w:val="16"/>
              </w:rPr>
              <w:t>Aliquot / storage event</w:t>
            </w:r>
          </w:p>
        </w:tc>
        <w:tc>
          <w:tcPr>
            <w:tcW w:type="dxa" w:w="6120"/>
            <w:vAlign w:val="center"/>
          </w:tcPr>
          <w:p>
            <w:pPr>
              <w:spacing w:after="0" w:line="245" w:lineRule="auto"/>
            </w:pPr>
            <w:r/>
            <w:r>
              <w:rPr>
                <w:rFonts w:ascii="Aptos" w:hAnsi="Aptos"/>
                <w:b w:val="0"/>
                <w:color w:val="173045"/>
                <w:sz w:val="16"/>
              </w:rPr>
              <w:t>Container, parent lot, freezer/hierarchy, condition, freeze/thaw, transfer and disposal.</w:t>
            </w:r>
          </w:p>
        </w:tc>
        <w:tc>
          <w:tcPr>
            <w:tcW w:type="dxa" w:w="1800"/>
            <w:vAlign w:val="center"/>
          </w:tcPr>
          <w:p>
            <w:pPr>
              <w:spacing w:after="0" w:line="245" w:lineRule="auto"/>
            </w:pPr>
            <w:r/>
            <w:r>
              <w:rPr>
                <w:rFonts w:ascii="Aptos" w:hAnsi="Aptos"/>
                <w:b w:val="0"/>
                <w:color w:val="173045"/>
                <w:sz w:val="16"/>
              </w:rPr>
              <w:t>[R02,T07]</w:t>
            </w:r>
          </w:p>
        </w:tc>
      </w:tr>
      <w:tr>
        <w:trPr>
          <w:cantSplit/>
        </w:trPr>
        <w:tc>
          <w:tcPr>
            <w:tcW w:type="dxa" w:w="1872"/>
            <w:vAlign w:val="center"/>
            <w:shd w:fill="F0F5F7"/>
          </w:tcPr>
          <w:p>
            <w:pPr>
              <w:spacing w:after="0" w:line="245" w:lineRule="auto"/>
            </w:pPr>
            <w:r/>
            <w:r>
              <w:rPr>
                <w:rFonts w:ascii="Aptos" w:hAnsi="Aptos"/>
                <w:b w:val="0"/>
                <w:color w:val="173045"/>
                <w:sz w:val="16"/>
              </w:rPr>
              <w:t>Assay consumption</w:t>
            </w:r>
          </w:p>
        </w:tc>
        <w:tc>
          <w:tcPr>
            <w:tcW w:type="dxa" w:w="6120"/>
            <w:vAlign w:val="center"/>
            <w:shd w:fill="F0F5F7"/>
          </w:tcPr>
          <w:p>
            <w:pPr>
              <w:spacing w:after="0" w:line="245" w:lineRule="auto"/>
            </w:pPr>
            <w:r/>
            <w:r>
              <w:rPr>
                <w:rFonts w:ascii="Aptos" w:hAnsi="Aptos"/>
                <w:b w:val="0"/>
                <w:color w:val="173045"/>
                <w:sz w:val="16"/>
              </w:rPr>
              <w:t>Which testing method, batch/study, analysis record and operator used which approved lot.</w:t>
            </w:r>
          </w:p>
        </w:tc>
        <w:tc>
          <w:tcPr>
            <w:tcW w:type="dxa" w:w="1800"/>
            <w:vAlign w:val="center"/>
            <w:shd w:fill="F0F5F7"/>
          </w:tcPr>
          <w:p>
            <w:pPr>
              <w:spacing w:after="0" w:line="245" w:lineRule="auto"/>
            </w:pPr>
            <w:r/>
            <w:r>
              <w:rPr>
                <w:rFonts w:ascii="Aptos" w:hAnsi="Aptos"/>
                <w:b w:val="0"/>
                <w:color w:val="173045"/>
                <w:sz w:val="16"/>
              </w:rPr>
              <w:t>[G01,G02,T01,T04]</w:t>
            </w:r>
          </w:p>
        </w:tc>
      </w:tr>
      <w:tr>
        <w:trPr>
          <w:cantSplit/>
        </w:trPr>
        <w:tc>
          <w:tcPr>
            <w:tcW w:type="dxa" w:w="1872"/>
            <w:vAlign w:val="center"/>
          </w:tcPr>
          <w:p>
            <w:pPr>
              <w:spacing w:after="0" w:line="245" w:lineRule="auto"/>
            </w:pPr>
            <w:r/>
            <w:r>
              <w:rPr>
                <w:rFonts w:ascii="Aptos" w:hAnsi="Aptos"/>
                <w:b w:val="0"/>
                <w:color w:val="173045"/>
                <w:sz w:val="16"/>
              </w:rPr>
              <w:t>Supply governance</w:t>
            </w:r>
          </w:p>
        </w:tc>
        <w:tc>
          <w:tcPr>
            <w:tcW w:type="dxa" w:w="6120"/>
            <w:vAlign w:val="center"/>
          </w:tcPr>
          <w:p>
            <w:pPr>
              <w:spacing w:after="0" w:line="245" w:lineRule="auto"/>
            </w:pPr>
            <w:r/>
            <w:r>
              <w:rPr>
                <w:rFonts w:ascii="Aptos" w:hAnsi="Aptos"/>
                <w:b w:val="0"/>
                <w:color w:val="173045"/>
                <w:sz w:val="16"/>
              </w:rPr>
              <w:t>Quantities available vs reserved, planned demand, supplier change, replenishment triggers and logistics custody.</w:t>
            </w:r>
          </w:p>
        </w:tc>
        <w:tc>
          <w:tcPr>
            <w:tcW w:type="dxa" w:w="1800"/>
            <w:vAlign w:val="center"/>
          </w:tcPr>
          <w:p>
            <w:pPr>
              <w:spacing w:after="0" w:line="245" w:lineRule="auto"/>
            </w:pPr>
            <w:r/>
            <w:r>
              <w:rPr>
                <w:rFonts w:ascii="Aptos" w:hAnsi="Aptos"/>
                <w:b w:val="0"/>
                <w:color w:val="173045"/>
                <w:sz w:val="16"/>
              </w:rPr>
              <w:t>[R02,T04,T06,T09]</w:t>
            </w:r>
          </w:p>
        </w:tc>
      </w:tr>
      <w:tr>
        <w:trPr>
          <w:cantSplit/>
        </w:trPr>
        <w:tc>
          <w:tcPr>
            <w:tcW w:type="dxa" w:w="1872"/>
            <w:vAlign w:val="center"/>
            <w:shd w:fill="F0F5F7"/>
          </w:tcPr>
          <w:p>
            <w:pPr>
              <w:spacing w:after="0" w:line="245" w:lineRule="auto"/>
            </w:pPr>
            <w:r/>
            <w:r>
              <w:rPr>
                <w:rFonts w:ascii="Aptos" w:hAnsi="Aptos"/>
                <w:b w:val="0"/>
                <w:color w:val="173045"/>
                <w:sz w:val="16"/>
              </w:rPr>
              <w:t>Evidence + auditability</w:t>
            </w:r>
          </w:p>
        </w:tc>
        <w:tc>
          <w:tcPr>
            <w:tcW w:type="dxa" w:w="6120"/>
            <w:vAlign w:val="center"/>
            <w:shd w:fill="F0F5F7"/>
          </w:tcPr>
          <w:p>
            <w:pPr>
              <w:spacing w:after="0" w:line="245" w:lineRule="auto"/>
            </w:pPr>
            <w:r/>
            <w:r>
              <w:rPr>
                <w:rFonts w:ascii="Aptos" w:hAnsi="Aptos"/>
                <w:b w:val="0"/>
                <w:color w:val="173045"/>
                <w:sz w:val="16"/>
              </w:rPr>
              <w:t>CoA and supporting records, deviations, approvals, electronic record access and change trail.</w:t>
            </w:r>
          </w:p>
        </w:tc>
        <w:tc>
          <w:tcPr>
            <w:tcW w:type="dxa" w:w="1800"/>
            <w:vAlign w:val="center"/>
            <w:shd w:fill="F0F5F7"/>
          </w:tcPr>
          <w:p>
            <w:pPr>
              <w:spacing w:after="0" w:line="245" w:lineRule="auto"/>
            </w:pPr>
            <w:r/>
            <w:r>
              <w:rPr>
                <w:rFonts w:ascii="Aptos" w:hAnsi="Aptos"/>
                <w:b w:val="0"/>
                <w:color w:val="173045"/>
                <w:sz w:val="16"/>
              </w:rPr>
              <w:t>[G02,G03,R02]</w:t>
            </w:r>
          </w:p>
        </w:tc>
      </w:tr>
    </w:tbl>
    <w:p>
      <w:pPr>
        <w:spacing w:after="20"/>
      </w:pPr>
    </w:p>
    <w:p>
      <w:r>
        <w:t>ICH M10 applies to defined chromatographic and ligand-binding bioanalytical assays used in supporting submissions; its treatment of critical reagents is not a universal GMP software specification. Separately, 21 CFR 211.194(c) requires complete records for testing and standardization of laboratory reference standards, reagents and standard solutions in covered drug GMP laboratories. Applicability of 21 CFR Part 11 follows the scope of the underlying electronic records, rather than every possible inventory entry. [G01–G03]</w:t>
      </w:r>
    </w:p>
    <w:p>
      <w:pPr>
        <w:pStyle w:val="Heading1"/>
      </w:pPr>
      <w:r>
        <w:t>8  |  Merck public product/pipeline context (not internal-system analysis)</w:t>
      </w:r>
    </w:p>
    <w:p>
      <w:r>
        <w:t>The public portfolio is used only to demonstrate the breadth of scientific analytical material classes relevant to a large biopharma manufacturer. Reagent names, clones, approved lots and supplier products are NOT inferred as Merck-specific factual records. [M01,M02]</w:t>
      </w:r>
    </w:p>
    <w:tbl>
      <w:tblPr>
        <w:tblStyle w:val="TableGrid"/>
        <w:tblW w:type="auto" w:w="0"/>
        <w:jc w:val="center"/>
        <w:tblLayout w:type="fixed"/>
        <w:tblLook w:firstColumn="1" w:firstRow="1" w:lastColumn="0" w:lastRow="0" w:noHBand="0" w:noVBand="1" w:val="04A0"/>
      </w:tblPr>
      <w:tblGrid>
        <w:gridCol w:w="2376"/>
        <w:gridCol w:w="1728"/>
        <w:gridCol w:w="5688"/>
      </w:tblGrid>
      <w:tr>
        <w:trPr>
          <w:tblHeader w:val="true"/>
        </w:trPr>
        <w:tc>
          <w:tcPr>
            <w:tcW w:type="dxa" w:w="3298"/>
            <w:vAlign w:val="center"/>
            <w:shd w:fill="173045"/>
          </w:tcPr>
          <w:p>
            <w:pPr>
              <w:spacing w:after="0" w:line="245" w:lineRule="auto"/>
            </w:pPr>
            <w:r/>
            <w:r>
              <w:rPr>
                <w:rFonts w:ascii="Aptos" w:hAnsi="Aptos"/>
                <w:b/>
                <w:color w:val="FFFFFF"/>
                <w:sz w:val="16"/>
              </w:rPr>
              <w:t>Public product / program</w:t>
            </w:r>
          </w:p>
        </w:tc>
        <w:tc>
          <w:tcPr>
            <w:tcW w:type="dxa" w:w="3298"/>
            <w:vAlign w:val="center"/>
            <w:shd w:fill="173045"/>
          </w:tcPr>
          <w:p>
            <w:pPr>
              <w:spacing w:after="0" w:line="245" w:lineRule="auto"/>
            </w:pPr>
            <w:r/>
            <w:r>
              <w:rPr>
                <w:rFonts w:ascii="Aptos" w:hAnsi="Aptos"/>
                <w:b/>
                <w:color w:val="FFFFFF"/>
                <w:sz w:val="16"/>
              </w:rPr>
              <w:t>Public modality</w:t>
            </w:r>
          </w:p>
        </w:tc>
        <w:tc>
          <w:tcPr>
            <w:tcW w:type="dxa" w:w="3298"/>
            <w:vAlign w:val="center"/>
            <w:shd w:fill="173045"/>
          </w:tcPr>
          <w:p>
            <w:pPr>
              <w:spacing w:after="0" w:line="245" w:lineRule="auto"/>
            </w:pPr>
            <w:r/>
            <w:r>
              <w:rPr>
                <w:rFonts w:ascii="Aptos" w:hAnsi="Aptos"/>
                <w:b/>
                <w:color w:val="FFFFFF"/>
                <w:sz w:val="16"/>
              </w:rPr>
              <w:t>Relevant generic reagent and inventory categories</w:t>
            </w:r>
          </w:p>
        </w:tc>
      </w:tr>
      <w:tr>
        <w:trPr>
          <w:cantSplit/>
        </w:trPr>
        <w:tc>
          <w:tcPr>
            <w:tcW w:type="dxa" w:w="2376"/>
            <w:vAlign w:val="center"/>
          </w:tcPr>
          <w:p>
            <w:pPr>
              <w:spacing w:after="0" w:line="245" w:lineRule="auto"/>
            </w:pPr>
            <w:r/>
            <w:r>
              <w:rPr>
                <w:rFonts w:ascii="Aptos" w:hAnsi="Aptos"/>
                <w:b w:val="0"/>
                <w:color w:val="173045"/>
                <w:sz w:val="16"/>
              </w:rPr>
              <w:t>KEYTRUDA (pembrolizumab)</w:t>
            </w:r>
          </w:p>
        </w:tc>
        <w:tc>
          <w:tcPr>
            <w:tcW w:type="dxa" w:w="1728"/>
            <w:vAlign w:val="center"/>
          </w:tcPr>
          <w:p>
            <w:pPr>
              <w:spacing w:after="0" w:line="245" w:lineRule="auto"/>
            </w:pPr>
            <w:r/>
            <w:r>
              <w:rPr>
                <w:rFonts w:ascii="Aptos" w:hAnsi="Aptos"/>
                <w:b w:val="0"/>
                <w:color w:val="173045"/>
                <w:sz w:val="16"/>
              </w:rPr>
              <w:t>Monoclonal antibody</w:t>
            </w:r>
          </w:p>
        </w:tc>
        <w:tc>
          <w:tcPr>
            <w:tcW w:type="dxa" w:w="5688"/>
            <w:vAlign w:val="center"/>
          </w:tcPr>
          <w:p>
            <w:pPr>
              <w:spacing w:after="0" w:line="245" w:lineRule="auto"/>
            </w:pPr>
            <w:r/>
            <w:r>
              <w:rPr>
                <w:rFonts w:ascii="Aptos" w:hAnsi="Aptos"/>
                <w:b w:val="0"/>
                <w:color w:val="173045"/>
                <w:sz w:val="16"/>
              </w:rPr>
              <w:t>Assay-designated binding proteins, anti-drug controls, qualified cell models or reporter controls when required by a particular method. [M01,G01]</w:t>
            </w:r>
          </w:p>
        </w:tc>
      </w:tr>
      <w:tr>
        <w:trPr>
          <w:cantSplit/>
        </w:trPr>
        <w:tc>
          <w:tcPr>
            <w:tcW w:type="dxa" w:w="2376"/>
            <w:vAlign w:val="center"/>
            <w:shd w:fill="F0F5F7"/>
          </w:tcPr>
          <w:p>
            <w:pPr>
              <w:spacing w:after="0" w:line="245" w:lineRule="auto"/>
            </w:pPr>
            <w:r/>
            <w:r>
              <w:rPr>
                <w:rFonts w:ascii="Aptos" w:hAnsi="Aptos"/>
                <w:b w:val="0"/>
                <w:color w:val="173045"/>
                <w:sz w:val="16"/>
              </w:rPr>
              <w:t>WINREVAIR (sotatercept)</w:t>
            </w:r>
          </w:p>
        </w:tc>
        <w:tc>
          <w:tcPr>
            <w:tcW w:type="dxa" w:w="1728"/>
            <w:vAlign w:val="center"/>
            <w:shd w:fill="F0F5F7"/>
          </w:tcPr>
          <w:p>
            <w:pPr>
              <w:spacing w:after="0" w:line="245" w:lineRule="auto"/>
            </w:pPr>
            <w:r/>
            <w:r>
              <w:rPr>
                <w:rFonts w:ascii="Aptos" w:hAnsi="Aptos"/>
                <w:b w:val="0"/>
                <w:color w:val="173045"/>
                <w:sz w:val="16"/>
              </w:rPr>
              <w:t>Recombinant fusion protein</w:t>
            </w:r>
          </w:p>
        </w:tc>
        <w:tc>
          <w:tcPr>
            <w:tcW w:type="dxa" w:w="5688"/>
            <w:vAlign w:val="center"/>
            <w:shd w:fill="F0F5F7"/>
          </w:tcPr>
          <w:p>
            <w:pPr>
              <w:spacing w:after="0" w:line="245" w:lineRule="auto"/>
            </w:pPr>
            <w:r/>
            <w:r>
              <w:rPr>
                <w:rFonts w:ascii="Aptos" w:hAnsi="Aptos"/>
                <w:b w:val="0"/>
                <w:color w:val="173045"/>
                <w:sz w:val="16"/>
              </w:rPr>
              <w:t>Qualified ligands/protein-binding reagents and functional controls where a given method requires them. [M01,G01]</w:t>
            </w:r>
          </w:p>
        </w:tc>
      </w:tr>
      <w:tr>
        <w:trPr>
          <w:cantSplit/>
        </w:trPr>
        <w:tc>
          <w:tcPr>
            <w:tcW w:type="dxa" w:w="2376"/>
            <w:vAlign w:val="center"/>
          </w:tcPr>
          <w:p>
            <w:pPr>
              <w:spacing w:after="0" w:line="245" w:lineRule="auto"/>
            </w:pPr>
            <w:r/>
            <w:r>
              <w:rPr>
                <w:rFonts w:ascii="Aptos" w:hAnsi="Aptos"/>
                <w:b w:val="0"/>
                <w:color w:val="173045"/>
                <w:sz w:val="16"/>
              </w:rPr>
              <w:t>GARDASIL 9; CAPVAXIVE</w:t>
            </w:r>
          </w:p>
        </w:tc>
        <w:tc>
          <w:tcPr>
            <w:tcW w:type="dxa" w:w="1728"/>
            <w:vAlign w:val="center"/>
          </w:tcPr>
          <w:p>
            <w:pPr>
              <w:spacing w:after="0" w:line="245" w:lineRule="auto"/>
            </w:pPr>
            <w:r/>
            <w:r>
              <w:rPr>
                <w:rFonts w:ascii="Aptos" w:hAnsi="Aptos"/>
                <w:b w:val="0"/>
                <w:color w:val="173045"/>
                <w:sz w:val="16"/>
              </w:rPr>
              <w:t>Vaccines</w:t>
            </w:r>
          </w:p>
        </w:tc>
        <w:tc>
          <w:tcPr>
            <w:tcW w:type="dxa" w:w="5688"/>
            <w:vAlign w:val="center"/>
          </w:tcPr>
          <w:p>
            <w:pPr>
              <w:spacing w:after="0" w:line="245" w:lineRule="auto"/>
            </w:pPr>
            <w:r/>
            <w:r>
              <w:rPr>
                <w:rFonts w:ascii="Aptos" w:hAnsi="Aptos"/>
                <w:b w:val="0"/>
                <w:color w:val="173045"/>
                <w:sz w:val="16"/>
              </w:rPr>
              <w:t>Serotype/antigen-specific reference materials and assay controls; exact release testing reagents depend on approved methods. [M01]</w:t>
            </w:r>
          </w:p>
        </w:tc>
      </w:tr>
      <w:tr>
        <w:trPr>
          <w:cantSplit/>
        </w:trPr>
        <w:tc>
          <w:tcPr>
            <w:tcW w:type="dxa" w:w="2376"/>
            <w:vAlign w:val="center"/>
            <w:shd w:fill="F0F5F7"/>
          </w:tcPr>
          <w:p>
            <w:pPr>
              <w:spacing w:after="0" w:line="245" w:lineRule="auto"/>
            </w:pPr>
            <w:r/>
            <w:r>
              <w:rPr>
                <w:rFonts w:ascii="Aptos" w:hAnsi="Aptos"/>
                <w:b w:val="0"/>
                <w:color w:val="173045"/>
                <w:sz w:val="16"/>
              </w:rPr>
              <w:t>Sacituzumab tirumotecan (MK-2870); zilovertamab vedotin (MK-2140)</w:t>
            </w:r>
          </w:p>
        </w:tc>
        <w:tc>
          <w:tcPr>
            <w:tcW w:type="dxa" w:w="1728"/>
            <w:vAlign w:val="center"/>
            <w:shd w:fill="F0F5F7"/>
          </w:tcPr>
          <w:p>
            <w:pPr>
              <w:spacing w:after="0" w:line="245" w:lineRule="auto"/>
            </w:pPr>
            <w:r/>
            <w:r>
              <w:rPr>
                <w:rFonts w:ascii="Aptos" w:hAnsi="Aptos"/>
                <w:b w:val="0"/>
                <w:color w:val="173045"/>
                <w:sz w:val="16"/>
              </w:rPr>
              <w:t>ADC development programs</w:t>
            </w:r>
          </w:p>
        </w:tc>
        <w:tc>
          <w:tcPr>
            <w:tcW w:type="dxa" w:w="5688"/>
            <w:vAlign w:val="center"/>
            <w:shd w:fill="F0F5F7"/>
          </w:tcPr>
          <w:p>
            <w:pPr>
              <w:spacing w:after="0" w:line="245" w:lineRule="auto"/>
            </w:pPr>
            <w:r/>
            <w:r>
              <w:rPr>
                <w:rFonts w:ascii="Aptos" w:hAnsi="Aptos"/>
                <w:b w:val="0"/>
                <w:color w:val="173045"/>
                <w:sz w:val="16"/>
              </w:rPr>
              <w:t>Binding and immunoassay reagents; target/exposure assay materials; lot comparability important in applicable bioanalysis. [M02,R04]</w:t>
            </w:r>
          </w:p>
        </w:tc>
      </w:tr>
      <w:tr>
        <w:trPr>
          <w:cantSplit/>
        </w:trPr>
        <w:tc>
          <w:tcPr>
            <w:tcW w:type="dxa" w:w="2376"/>
            <w:vAlign w:val="center"/>
          </w:tcPr>
          <w:p>
            <w:pPr>
              <w:spacing w:after="0" w:line="245" w:lineRule="auto"/>
            </w:pPr>
            <w:r/>
            <w:r>
              <w:rPr>
                <w:rFonts w:ascii="Aptos" w:hAnsi="Aptos"/>
                <w:b w:val="0"/>
                <w:color w:val="173045"/>
                <w:sz w:val="16"/>
              </w:rPr>
              <w:t>Gocatamig (MK-6070); other T-cell engagers</w:t>
            </w:r>
          </w:p>
        </w:tc>
        <w:tc>
          <w:tcPr>
            <w:tcW w:type="dxa" w:w="1728"/>
            <w:vAlign w:val="center"/>
          </w:tcPr>
          <w:p>
            <w:pPr>
              <w:spacing w:after="0" w:line="245" w:lineRule="auto"/>
            </w:pPr>
            <w:r/>
            <w:r>
              <w:rPr>
                <w:rFonts w:ascii="Aptos" w:hAnsi="Aptos"/>
                <w:b w:val="0"/>
                <w:color w:val="173045"/>
                <w:sz w:val="16"/>
              </w:rPr>
              <w:t>Engineered multispecific programs</w:t>
            </w:r>
          </w:p>
        </w:tc>
        <w:tc>
          <w:tcPr>
            <w:tcW w:type="dxa" w:w="5688"/>
            <w:vAlign w:val="center"/>
          </w:tcPr>
          <w:p>
            <w:pPr>
              <w:spacing w:after="0" w:line="245" w:lineRule="auto"/>
            </w:pPr>
            <w:r/>
            <w:r>
              <w:rPr>
                <w:rFonts w:ascii="Aptos" w:hAnsi="Aptos"/>
                <w:b w:val="0"/>
                <w:color w:val="173045"/>
                <w:sz w:val="16"/>
              </w:rPr>
              <w:t>Program-specific binding reagents and qualified cellular assay materials where required by methods. [M02,G01]</w:t>
            </w:r>
          </w:p>
        </w:tc>
      </w:tr>
      <w:tr>
        <w:trPr>
          <w:cantSplit/>
        </w:trPr>
        <w:tc>
          <w:tcPr>
            <w:tcW w:type="dxa" w:w="2376"/>
            <w:vAlign w:val="center"/>
            <w:shd w:fill="F0F5F7"/>
          </w:tcPr>
          <w:p>
            <w:pPr>
              <w:spacing w:after="0" w:line="245" w:lineRule="auto"/>
            </w:pPr>
            <w:r/>
            <w:r>
              <w:rPr>
                <w:rFonts w:ascii="Aptos" w:hAnsi="Aptos"/>
                <w:b w:val="0"/>
                <w:color w:val="173045"/>
                <w:sz w:val="16"/>
              </w:rPr>
              <w:t>Intismeran autogene (V940)</w:t>
            </w:r>
          </w:p>
        </w:tc>
        <w:tc>
          <w:tcPr>
            <w:tcW w:type="dxa" w:w="1728"/>
            <w:vAlign w:val="center"/>
            <w:shd w:fill="F0F5F7"/>
          </w:tcPr>
          <w:p>
            <w:pPr>
              <w:spacing w:after="0" w:line="245" w:lineRule="auto"/>
            </w:pPr>
            <w:r/>
            <w:r>
              <w:rPr>
                <w:rFonts w:ascii="Aptos" w:hAnsi="Aptos"/>
                <w:b w:val="0"/>
                <w:color w:val="173045"/>
                <w:sz w:val="16"/>
              </w:rPr>
              <w:t>Individualized mRNA neoantigen therapy</w:t>
            </w:r>
          </w:p>
        </w:tc>
        <w:tc>
          <w:tcPr>
            <w:tcW w:type="dxa" w:w="5688"/>
            <w:vAlign w:val="center"/>
            <w:shd w:fill="F0F5F7"/>
          </w:tcPr>
          <w:p>
            <w:pPr>
              <w:spacing w:after="0" w:line="245" w:lineRule="auto"/>
            </w:pPr>
            <w:r/>
            <w:r>
              <w:rPr>
                <w:rFonts w:ascii="Aptos" w:hAnsi="Aptos"/>
                <w:b w:val="0"/>
                <w:color w:val="173045"/>
                <w:sz w:val="16"/>
              </w:rPr>
              <w:t>Method-specific molecular/biological controls; shared reference material must be distinguished from patient-specific product material. [M02]</w:t>
            </w:r>
          </w:p>
        </w:tc>
      </w:tr>
    </w:tbl>
    <w:p>
      <w:pPr>
        <w:spacing w:after="20"/>
      </w:pPr>
    </w:p>
    <w:p>
      <w:pPr>
        <w:pStyle w:val="Heading2"/>
      </w:pPr>
      <w:r>
        <w:t>8.1  |  Material-class boundaries</w:t>
      </w:r>
    </w:p>
    <w:p>
      <w:r>
        <w:t>A commercial therapeutic, an analytical reference standard, an assay-critical binding reagent and a GMP manufacturing raw material are distinct inventory objects with different intended uses and controls. The biological nature of a material does not itself establish criticality; the relevant analytical method and use determine that assessment. [G01,G02]</w:t>
      </w:r>
    </w:p>
    <w:p>
      <w:pPr>
        <w:pStyle w:val="Heading1"/>
      </w:pPr>
      <w:r>
        <w:t>9  |  Decision intelligence synthesis for manufacturing leadership</w:t>
      </w:r>
    </w:p>
    <w:tbl>
      <w:tblPr>
        <w:tblStyle w:val="TableGrid"/>
        <w:tblW w:type="auto" w:w="0"/>
        <w:jc w:val="center"/>
        <w:tblLayout w:type="fixed"/>
        <w:tblLook w:firstColumn="1" w:firstRow="1" w:lastColumn="0" w:lastRow="0" w:noHBand="0" w:noVBand="1" w:val="04A0"/>
      </w:tblPr>
      <w:tblGrid>
        <w:gridCol w:w="3096"/>
        <w:gridCol w:w="6696"/>
      </w:tblGrid>
      <w:tr>
        <w:trPr>
          <w:tblHeader w:val="true"/>
        </w:trPr>
        <w:tc>
          <w:tcPr>
            <w:tcW w:type="dxa" w:w="4946"/>
            <w:vAlign w:val="center"/>
            <w:shd w:fill="173045"/>
          </w:tcPr>
          <w:p>
            <w:pPr>
              <w:spacing w:after="0" w:line="245" w:lineRule="auto"/>
            </w:pPr>
            <w:r/>
            <w:r>
              <w:rPr>
                <w:rFonts w:ascii="Aptos" w:hAnsi="Aptos"/>
                <w:b/>
                <w:color w:val="FFFFFF"/>
                <w:sz w:val="16"/>
              </w:rPr>
              <w:t>Evidence-based finding</w:t>
            </w:r>
          </w:p>
        </w:tc>
        <w:tc>
          <w:tcPr>
            <w:tcW w:type="dxa" w:w="4946"/>
            <w:vAlign w:val="center"/>
            <w:shd w:fill="173045"/>
          </w:tcPr>
          <w:p>
            <w:pPr>
              <w:spacing w:after="0" w:line="245" w:lineRule="auto"/>
            </w:pPr>
            <w:r/>
            <w:r>
              <w:rPr>
                <w:rFonts w:ascii="Aptos" w:hAnsi="Aptos"/>
                <w:b/>
                <w:color w:val="FFFFFF"/>
                <w:sz w:val="16"/>
              </w:rPr>
              <w:t>Manufacturing significance / evaluation question</w:t>
            </w:r>
          </w:p>
        </w:tc>
      </w:tr>
      <w:tr>
        <w:trPr>
          <w:cantSplit/>
        </w:trPr>
        <w:tc>
          <w:tcPr>
            <w:tcW w:type="dxa" w:w="3096"/>
            <w:vAlign w:val="center"/>
          </w:tcPr>
          <w:p>
            <w:pPr>
              <w:spacing w:after="0" w:line="245" w:lineRule="auto"/>
            </w:pPr>
            <w:r/>
            <w:r>
              <w:rPr>
                <w:rFonts w:ascii="Aptos" w:hAnsi="Aptos"/>
                <w:b w:val="0"/>
                <w:color w:val="173045"/>
                <w:sz w:val="16"/>
              </w:rPr>
              <w:t>No dominant 19-peer BCR system is publicly established.</w:t>
            </w:r>
          </w:p>
        </w:tc>
        <w:tc>
          <w:tcPr>
            <w:tcW w:type="dxa" w:w="6696"/>
            <w:vAlign w:val="center"/>
          </w:tcPr>
          <w:p>
            <w:pPr>
              <w:spacing w:after="0" w:line="245" w:lineRule="auto"/>
            </w:pPr>
            <w:r/>
            <w:r>
              <w:rPr>
                <w:rFonts w:ascii="Aptos" w:hAnsi="Aptos"/>
                <w:b w:val="0"/>
                <w:color w:val="173045"/>
                <w:sz w:val="16"/>
              </w:rPr>
              <w:t>Market selection cannot rely on presumed peer majority adoption; require direct demonstrations at reagent lot / assay / QC workflow level. [P01–P11]</w:t>
            </w:r>
          </w:p>
        </w:tc>
      </w:tr>
      <w:tr>
        <w:trPr>
          <w:cantSplit/>
        </w:trPr>
        <w:tc>
          <w:tcPr>
            <w:tcW w:type="dxa" w:w="3096"/>
            <w:vAlign w:val="center"/>
            <w:shd w:fill="F0F5F7"/>
          </w:tcPr>
          <w:p>
            <w:pPr>
              <w:spacing w:after="0" w:line="245" w:lineRule="auto"/>
            </w:pPr>
            <w:r/>
            <w:r>
              <w:rPr>
                <w:rFonts w:ascii="Aptos" w:hAnsi="Aptos"/>
                <w:b w:val="0"/>
                <w:color w:val="173045"/>
                <w:sz w:val="16"/>
              </w:rPr>
              <w:t>Broader LIMS products can manage reagent stocks.</w:t>
            </w:r>
          </w:p>
        </w:tc>
        <w:tc>
          <w:tcPr>
            <w:tcW w:type="dxa" w:w="6696"/>
            <w:vAlign w:val="center"/>
            <w:shd w:fill="F0F5F7"/>
          </w:tcPr>
          <w:p>
            <w:pPr>
              <w:spacing w:after="0" w:line="245" w:lineRule="auto"/>
            </w:pPr>
            <w:r/>
            <w:r>
              <w:rPr>
                <w:rFonts w:ascii="Aptos" w:hAnsi="Aptos"/>
                <w:b w:val="0"/>
                <w:color w:val="173045"/>
                <w:sz w:val="16"/>
              </w:rPr>
              <w:t>A platform should be evaluated on actual deployed reagent qualification controls, not just catalogued inventory functionality. [T01,T03,T04]</w:t>
            </w:r>
          </w:p>
        </w:tc>
      </w:tr>
      <w:tr>
        <w:trPr>
          <w:cantSplit/>
        </w:trPr>
        <w:tc>
          <w:tcPr>
            <w:tcW w:type="dxa" w:w="3096"/>
            <w:vAlign w:val="center"/>
          </w:tcPr>
          <w:p>
            <w:pPr>
              <w:spacing w:after="0" w:line="245" w:lineRule="auto"/>
            </w:pPr>
            <w:r/>
            <w:r>
              <w:rPr>
                <w:rFonts w:ascii="Aptos" w:hAnsi="Aptos"/>
                <w:b w:val="0"/>
                <w:color w:val="173045"/>
                <w:sz w:val="16"/>
              </w:rPr>
              <w:t>Dedicated or configured workflows have published precedents.</w:t>
            </w:r>
          </w:p>
        </w:tc>
        <w:tc>
          <w:tcPr>
            <w:tcW w:type="dxa" w:w="6696"/>
            <w:vAlign w:val="center"/>
          </w:tcPr>
          <w:p>
            <w:pPr>
              <w:spacing w:after="0" w:line="245" w:lineRule="auto"/>
            </w:pPr>
            <w:r/>
            <w:r>
              <w:rPr>
                <w:rFonts w:ascii="Aptos" w:hAnsi="Aptos"/>
                <w:b w:val="0"/>
                <w:color w:val="173045"/>
                <w:sz w:val="16"/>
              </w:rPr>
              <w:t>Assess operational ownership between LIMS, scientific system, specialist reagent tool and supplier/CRO portal. [P02,R02]</w:t>
            </w:r>
          </w:p>
        </w:tc>
      </w:tr>
      <w:tr>
        <w:trPr>
          <w:cantSplit/>
        </w:trPr>
        <w:tc>
          <w:tcPr>
            <w:tcW w:type="dxa" w:w="3096"/>
            <w:vAlign w:val="center"/>
            <w:shd w:fill="F0F5F7"/>
          </w:tcPr>
          <w:p>
            <w:pPr>
              <w:spacing w:after="0" w:line="245" w:lineRule="auto"/>
            </w:pPr>
            <w:r/>
            <w:r>
              <w:rPr>
                <w:rFonts w:ascii="Aptos" w:hAnsi="Aptos"/>
                <w:b w:val="0"/>
                <w:color w:val="173045"/>
                <w:sz w:val="16"/>
              </w:rPr>
              <w:t>Planning and physical tracking solve different questions from scientific release.</w:t>
            </w:r>
          </w:p>
        </w:tc>
        <w:tc>
          <w:tcPr>
            <w:tcW w:type="dxa" w:w="6696"/>
            <w:vAlign w:val="center"/>
            <w:shd w:fill="F0F5F7"/>
          </w:tcPr>
          <w:p>
            <w:pPr>
              <w:spacing w:after="0" w:line="245" w:lineRule="auto"/>
            </w:pPr>
            <w:r/>
            <w:r>
              <w:rPr>
                <w:rFonts w:ascii="Aptos" w:hAnsi="Aptos"/>
                <w:b w:val="0"/>
                <w:color w:val="173045"/>
                <w:sz w:val="16"/>
              </w:rPr>
              <w:t>Separate stock visibility/forecasting from scientific method authorization and regulatory records. [G01,G02,T06,T09,D03]</w:t>
            </w:r>
          </w:p>
        </w:tc>
      </w:tr>
      <w:tr>
        <w:trPr>
          <w:cantSplit/>
        </w:trPr>
        <w:tc>
          <w:tcPr>
            <w:tcW w:type="dxa" w:w="3096"/>
            <w:vAlign w:val="center"/>
          </w:tcPr>
          <w:p>
            <w:pPr>
              <w:spacing w:after="0" w:line="245" w:lineRule="auto"/>
            </w:pPr>
            <w:r/>
            <w:r>
              <w:rPr>
                <w:rFonts w:ascii="Aptos" w:hAnsi="Aptos"/>
                <w:b w:val="0"/>
                <w:color w:val="173045"/>
                <w:sz w:val="16"/>
              </w:rPr>
              <w:t>Recent research strengthens lot comparison and connected operations.</w:t>
            </w:r>
          </w:p>
        </w:tc>
        <w:tc>
          <w:tcPr>
            <w:tcW w:type="dxa" w:w="6696"/>
            <w:vAlign w:val="center"/>
          </w:tcPr>
          <w:p>
            <w:pPr>
              <w:spacing w:after="0" w:line="245" w:lineRule="auto"/>
            </w:pPr>
            <w:r/>
            <w:r>
              <w:rPr>
                <w:rFonts w:ascii="Aptos" w:hAnsi="Aptos"/>
                <w:b w:val="0"/>
                <w:color w:val="173045"/>
                <w:sz w:val="16"/>
              </w:rPr>
              <w:t>Track lot bridging, expiry/retest and equivalence evidence as part of lifecycle records. [R03,R04]</w:t>
            </w:r>
          </w:p>
        </w:tc>
      </w:tr>
    </w:tbl>
    <w:p>
      <w:pPr>
        <w:spacing w:after="20"/>
      </w:pPr>
    </w:p>
    <w:p>
      <w:pPr>
        <w:pStyle w:val="Heading2"/>
      </w:pPr>
      <w:r>
        <w:t>9.1  |  Evidence still required for a peer-comparable deployment benchmark</w:t>
      </w:r>
    </w:p>
    <w:p>
      <w:r>
        <w:t>A defensible next-stage benchmark would request publicly releasable customer deployment disclosures identifying: named platform and module; laboratories/sites in scope; biological critical-reagent workflows covered; qualification and bridging records; integrations with ERP, LIMS and CROs; and live versus planned status. The source set here does not support a market-share percentage or 2026 site-by-site roll-out map. [P01–P11,T02]</w:t>
      </w:r>
    </w:p>
    <w:p>
      <w:pPr>
        <w:pStyle w:val="Heading2"/>
      </w:pPr>
      <w:r>
        <w:t>9.2  |  Executive conclusion</w:t>
      </w:r>
    </w:p>
    <w:tbl>
      <w:tblPr>
        <w:tblStyle w:val="TableGrid"/>
        <w:tblW w:type="auto" w:w="0"/>
        <w:tblLook w:firstColumn="1" w:firstRow="1" w:lastColumn="0" w:lastRow="0" w:noHBand="0" w:noVBand="1" w:val="04A0"/>
      </w:tblPr>
      <w:tblGrid>
        <w:gridCol w:w="9893"/>
      </w:tblGrid>
      <w:tr>
        <w:tc>
          <w:tcPr>
            <w:tcW w:type="dxa" w:w="9893"/>
            <w:shd w:fill="EDF4F6"/>
          </w:tcPr>
          <w:p>
            <w:r/>
            <w:r>
              <w:rPr>
                <w:b/>
                <w:color w:val="005B76"/>
                <w:sz w:val="20"/>
              </w:rPr>
              <w:t>Conclusion</w:t>
              <w:br/>
            </w:r>
            <w:r>
              <w:rPr>
                <w:sz w:val="18"/>
              </w:rPr>
              <w:t>Public peer disclosures and primary product documentation support a multi-system market: laboratory platforms, specialist critical-reagent systems, scientific inventory tools and procurement/materials systems can each play a role. Genentech and Pfizer provide the clearest direct public descriptions of critical-reagent lifecycle approaches; J&amp;J, Roche, AstraZeneca and Moderna supply named but differently scoped technology evidence. A company-level “which software is used for BCR inventory?” answer remains unverified for most peers. [P01–P11,R01,R02]</w:t>
            </w:r>
          </w:p>
        </w:tc>
      </w:tr>
    </w:tbl>
    <w:p>
      <w:pPr>
        <w:spacing w:after="0"/>
      </w:pPr>
    </w:p>
    <w:p>
      <w:pPr>
        <w:pStyle w:val="Heading1"/>
      </w:pPr>
      <w:r>
        <w:t>10  |  Research methodology and evidence discipline</w:t>
      </w:r>
    </w:p>
    <w:p>
      <w:r>
        <w:t>Question-led external intelligence. The benchmark covers the requester’s 19 specified companies plus Genentech as a distinct Roche subsidiary example. The search examined named case studies, product documentation, technical help, company disclosures, conference abstracts, scientific papers and public job descriptions. Public search absence is never interpreted as absence of an internal platform.</w:t>
      </w:r>
    </w:p>
    <w:tbl>
      <w:tblPr>
        <w:tblStyle w:val="TableGrid"/>
        <w:tblW w:type="auto" w:w="0"/>
        <w:jc w:val="center"/>
        <w:tblLayout w:type="fixed"/>
        <w:tblLook w:firstColumn="1" w:firstRow="1" w:lastColumn="0" w:lastRow="0" w:noHBand="0" w:noVBand="1" w:val="04A0"/>
      </w:tblPr>
      <w:tblGrid>
        <w:gridCol w:w="2520"/>
        <w:gridCol w:w="3600"/>
        <w:gridCol w:w="3672"/>
      </w:tblGrid>
      <w:tr>
        <w:trPr>
          <w:tblHeader w:val="true"/>
        </w:trPr>
        <w:tc>
          <w:tcPr>
            <w:tcW w:type="dxa" w:w="3298"/>
            <w:vAlign w:val="center"/>
            <w:shd w:fill="173045"/>
          </w:tcPr>
          <w:p>
            <w:r>
              <w:t>Public source type</w:t>
            </w:r>
          </w:p>
        </w:tc>
        <w:tc>
          <w:tcPr>
            <w:tcW w:type="dxa" w:w="3298"/>
            <w:vAlign w:val="center"/>
            <w:shd w:fill="173045"/>
          </w:tcPr>
          <w:p>
            <w:pPr>
              <w:spacing w:after="0" w:line="245" w:lineRule="auto"/>
            </w:pPr>
            <w:r/>
            <w:r>
              <w:rPr>
                <w:rFonts w:ascii="Aptos" w:hAnsi="Aptos"/>
                <w:b/>
                <w:color w:val="FFFFFF"/>
                <w:sz w:val="16"/>
              </w:rPr>
              <w:t>Allowed claim</w:t>
            </w:r>
          </w:p>
        </w:tc>
        <w:tc>
          <w:tcPr>
            <w:tcW w:type="dxa" w:w="3298"/>
            <w:vAlign w:val="center"/>
            <w:shd w:fill="173045"/>
          </w:tcPr>
          <w:p>
            <w:pPr>
              <w:spacing w:after="0" w:line="245" w:lineRule="auto"/>
            </w:pPr>
            <w:r/>
            <w:r>
              <w:rPr>
                <w:rFonts w:ascii="Aptos" w:hAnsi="Aptos"/>
                <w:b/>
                <w:color w:val="FFFFFF"/>
                <w:sz w:val="16"/>
              </w:rPr>
              <w:t>Excluded inference</w:t>
            </w:r>
          </w:p>
        </w:tc>
      </w:tr>
      <w:tr>
        <w:trPr>
          <w:cantSplit/>
        </w:trPr>
        <w:tc>
          <w:tcPr>
            <w:tcW w:type="dxa" w:w="2520"/>
            <w:vAlign w:val="center"/>
          </w:tcPr>
          <w:p>
            <w:pPr>
              <w:spacing w:after="0" w:line="245" w:lineRule="auto"/>
            </w:pPr>
            <w:r/>
            <w:r>
              <w:rPr>
                <w:rFonts w:ascii="Aptos" w:hAnsi="Aptos"/>
                <w:b w:val="0"/>
                <w:color w:val="173045"/>
                <w:sz w:val="16"/>
              </w:rPr>
              <w:t>Regulatory text / scientific paper</w:t>
            </w:r>
          </w:p>
        </w:tc>
        <w:tc>
          <w:tcPr>
            <w:tcW w:type="dxa" w:w="3600"/>
            <w:vAlign w:val="center"/>
          </w:tcPr>
          <w:p>
            <w:pPr>
              <w:spacing w:after="0" w:line="245" w:lineRule="auto"/>
            </w:pPr>
            <w:r/>
            <w:r>
              <w:rPr>
                <w:rFonts w:ascii="Aptos" w:hAnsi="Aptos"/>
                <w:b w:val="0"/>
                <w:color w:val="173045"/>
                <w:sz w:val="16"/>
              </w:rPr>
              <w:t>Requirement or published study as of date.</w:t>
            </w:r>
          </w:p>
        </w:tc>
        <w:tc>
          <w:tcPr>
            <w:tcW w:type="dxa" w:w="3672"/>
            <w:vAlign w:val="center"/>
          </w:tcPr>
          <w:p>
            <w:pPr>
              <w:spacing w:after="0" w:line="245" w:lineRule="auto"/>
            </w:pPr>
            <w:r/>
            <w:r>
              <w:rPr>
                <w:rFonts w:ascii="Aptos" w:hAnsi="Aptos"/>
                <w:b w:val="0"/>
                <w:color w:val="173045"/>
                <w:sz w:val="16"/>
              </w:rPr>
              <w:t>Proof of adoption by a peer.</w:t>
            </w:r>
          </w:p>
        </w:tc>
      </w:tr>
      <w:tr>
        <w:trPr>
          <w:cantSplit/>
        </w:trPr>
        <w:tc>
          <w:tcPr>
            <w:tcW w:type="dxa" w:w="2520"/>
            <w:vAlign w:val="center"/>
            <w:shd w:fill="F0F5F7"/>
          </w:tcPr>
          <w:p>
            <w:pPr>
              <w:spacing w:after="0" w:line="245" w:lineRule="auto"/>
            </w:pPr>
            <w:r/>
            <w:r>
              <w:rPr>
                <w:rFonts w:ascii="Aptos" w:hAnsi="Aptos"/>
                <w:b w:val="0"/>
                <w:color w:val="173045"/>
                <w:sz w:val="16"/>
              </w:rPr>
              <w:t>Named customer case study / scientific implementation</w:t>
            </w:r>
          </w:p>
        </w:tc>
        <w:tc>
          <w:tcPr>
            <w:tcW w:type="dxa" w:w="3600"/>
            <w:vAlign w:val="center"/>
            <w:shd w:fill="F0F5F7"/>
          </w:tcPr>
          <w:p>
            <w:pPr>
              <w:spacing w:after="0" w:line="245" w:lineRule="auto"/>
            </w:pPr>
            <w:r/>
            <w:r>
              <w:rPr>
                <w:rFonts w:ascii="Aptos" w:hAnsi="Aptos"/>
                <w:b w:val="0"/>
                <w:color w:val="173045"/>
                <w:sz w:val="16"/>
              </w:rPr>
              <w:t>Named system at the specific organization and stated use/date.</w:t>
            </w:r>
          </w:p>
        </w:tc>
        <w:tc>
          <w:tcPr>
            <w:tcW w:type="dxa" w:w="3672"/>
            <w:vAlign w:val="center"/>
            <w:shd w:fill="F0F5F7"/>
          </w:tcPr>
          <w:p>
            <w:pPr>
              <w:spacing w:after="0" w:line="245" w:lineRule="auto"/>
            </w:pPr>
            <w:r/>
            <w:r>
              <w:rPr>
                <w:rFonts w:ascii="Aptos" w:hAnsi="Aptos"/>
                <w:b w:val="0"/>
                <w:color w:val="173045"/>
                <w:sz w:val="16"/>
              </w:rPr>
              <w:t>Present enterprise roll-out or critical reagent scope if unstated.</w:t>
            </w:r>
          </w:p>
        </w:tc>
      </w:tr>
      <w:tr>
        <w:trPr>
          <w:cantSplit/>
        </w:trPr>
        <w:tc>
          <w:tcPr>
            <w:tcW w:type="dxa" w:w="2520"/>
            <w:vAlign w:val="center"/>
          </w:tcPr>
          <w:p>
            <w:pPr>
              <w:spacing w:after="0" w:line="245" w:lineRule="auto"/>
            </w:pPr>
            <w:r/>
            <w:r>
              <w:rPr>
                <w:rFonts w:ascii="Aptos" w:hAnsi="Aptos"/>
                <w:b w:val="0"/>
                <w:color w:val="173045"/>
                <w:sz w:val="16"/>
              </w:rPr>
              <w:t>Vendor technical documentation</w:t>
            </w:r>
          </w:p>
        </w:tc>
        <w:tc>
          <w:tcPr>
            <w:tcW w:type="dxa" w:w="3600"/>
            <w:vAlign w:val="center"/>
          </w:tcPr>
          <w:p>
            <w:pPr>
              <w:spacing w:after="0" w:line="245" w:lineRule="auto"/>
            </w:pPr>
            <w:r/>
            <w:r>
              <w:rPr>
                <w:rFonts w:ascii="Aptos" w:hAnsi="Aptos"/>
                <w:b w:val="0"/>
                <w:color w:val="173045"/>
                <w:sz w:val="16"/>
              </w:rPr>
              <w:t>Supported or described product functionality.</w:t>
            </w:r>
          </w:p>
        </w:tc>
        <w:tc>
          <w:tcPr>
            <w:tcW w:type="dxa" w:w="3672"/>
            <w:vAlign w:val="center"/>
          </w:tcPr>
          <w:p>
            <w:pPr>
              <w:spacing w:after="0" w:line="245" w:lineRule="auto"/>
            </w:pPr>
            <w:r/>
            <w:r>
              <w:rPr>
                <w:rFonts w:ascii="Aptos" w:hAnsi="Aptos"/>
                <w:b w:val="0"/>
                <w:color w:val="173045"/>
                <w:sz w:val="16"/>
              </w:rPr>
              <w:t>Validated deployment at listed peer.</w:t>
            </w:r>
          </w:p>
        </w:tc>
      </w:tr>
      <w:tr>
        <w:trPr>
          <w:cantSplit/>
        </w:trPr>
        <w:tc>
          <w:tcPr>
            <w:tcW w:type="dxa" w:w="2520"/>
            <w:vAlign w:val="center"/>
            <w:shd w:fill="F0F5F7"/>
          </w:tcPr>
          <w:p>
            <w:pPr>
              <w:spacing w:after="0" w:line="245" w:lineRule="auto"/>
            </w:pPr>
            <w:r/>
            <w:r>
              <w:rPr>
                <w:rFonts w:ascii="Aptos" w:hAnsi="Aptos"/>
                <w:b w:val="0"/>
                <w:color w:val="173045"/>
                <w:sz w:val="16"/>
              </w:rPr>
              <w:t>Vendor logo/testimonial</w:t>
            </w:r>
          </w:p>
        </w:tc>
        <w:tc>
          <w:tcPr>
            <w:tcW w:type="dxa" w:w="3600"/>
            <w:vAlign w:val="center"/>
            <w:shd w:fill="F0F5F7"/>
          </w:tcPr>
          <w:p>
            <w:pPr>
              <w:spacing w:after="0" w:line="245" w:lineRule="auto"/>
            </w:pPr>
            <w:r/>
            <w:r>
              <w:rPr>
                <w:rFonts w:ascii="Aptos" w:hAnsi="Aptos"/>
                <w:b w:val="0"/>
                <w:color w:val="173045"/>
                <w:sz w:val="16"/>
              </w:rPr>
              <w:t>Bounded commercial relationship or described use case.</w:t>
            </w:r>
          </w:p>
        </w:tc>
        <w:tc>
          <w:tcPr>
            <w:tcW w:type="dxa" w:w="3672"/>
            <w:vAlign w:val="center"/>
            <w:shd w:fill="F0F5F7"/>
          </w:tcPr>
          <w:p>
            <w:pPr>
              <w:spacing w:after="0" w:line="245" w:lineRule="auto"/>
            </w:pPr>
            <w:r/>
            <w:r>
              <w:rPr>
                <w:rFonts w:ascii="Aptos" w:hAnsi="Aptos"/>
                <w:b w:val="0"/>
                <w:color w:val="173045"/>
                <w:sz w:val="16"/>
              </w:rPr>
              <w:t>Specific inventory module, GMP readiness or current site scope.</w:t>
            </w:r>
          </w:p>
        </w:tc>
      </w:tr>
      <w:tr>
        <w:trPr>
          <w:cantSplit/>
        </w:trPr>
        <w:tc>
          <w:tcPr>
            <w:tcW w:type="dxa" w:w="2520"/>
            <w:vAlign w:val="center"/>
          </w:tcPr>
          <w:p>
            <w:pPr>
              <w:spacing w:after="0" w:line="245" w:lineRule="auto"/>
            </w:pPr>
            <w:r/>
            <w:r>
              <w:rPr>
                <w:rFonts w:ascii="Aptos" w:hAnsi="Aptos"/>
                <w:b w:val="0"/>
                <w:color w:val="173045"/>
                <w:sz w:val="16"/>
              </w:rPr>
              <w:t>Job description</w:t>
            </w:r>
          </w:p>
        </w:tc>
        <w:tc>
          <w:tcPr>
            <w:tcW w:type="dxa" w:w="3600"/>
            <w:vAlign w:val="center"/>
          </w:tcPr>
          <w:p>
            <w:pPr>
              <w:spacing w:after="0" w:line="245" w:lineRule="auto"/>
            </w:pPr>
            <w:r/>
            <w:r>
              <w:rPr>
                <w:rFonts w:ascii="Aptos" w:hAnsi="Aptos"/>
                <w:b w:val="0"/>
                <w:color w:val="173045"/>
                <w:sz w:val="16"/>
              </w:rPr>
              <w:t>Published role accountability / skill requirement.</w:t>
            </w:r>
          </w:p>
        </w:tc>
        <w:tc>
          <w:tcPr>
            <w:tcW w:type="dxa" w:w="3672"/>
            <w:vAlign w:val="center"/>
          </w:tcPr>
          <w:p>
            <w:pPr>
              <w:spacing w:after="0" w:line="245" w:lineRule="auto"/>
            </w:pPr>
            <w:r/>
            <w:r>
              <w:rPr>
                <w:rFonts w:ascii="Aptos" w:hAnsi="Aptos"/>
                <w:b w:val="0"/>
                <w:color w:val="173045"/>
                <w:sz w:val="16"/>
              </w:rPr>
              <w:t>Product implementation or installed system.</w:t>
            </w:r>
          </w:p>
        </w:tc>
      </w:tr>
    </w:tbl>
    <w:p>
      <w:pPr>
        <w:spacing w:after="20"/>
      </w:pPr>
    </w:p>
    <w:p>
      <w:pPr/>
      <w:r>
        <w:rPr>
          <w:color w:val="3E4850"/>
          <w:sz w:val="16"/>
        </w:rPr>
        <w:t>Final evidence check (29 October 2026): peer claims were reconciled with the linked scientific publication, conference program, named-customer case study or issuing organization’s disclosure; platform and disruptor capabilities are reported as supplier documentation rather than independent deployment validation. Date/source corrections include Scispot’s 21 October 2026 Location Manager announcement, the PubMed record for Rihm et al. (2024), and the official eCFR source for 21 CFR 211.194. A publicly available system description does not establish its adoption, implementation scope or qualification controls at a named peer.</w:t>
      </w:r>
    </w:p>
    <w:p>
      <w:r>
        <w:t>Source review cut-off: 29 October 2026. URLs were checked via public-source retrieval during report preparation, and all are reproduced without ChatGPT tracking parameters. Some documents are published long before 2026 and therefore serve as historical point-in-time evidence. Supplier product pages are capability descriptions, not independently verified operating metrics. The scientific references below identify whether they address dedicated critical reagents or adjacent laboratory inventory.</w:t>
      </w:r>
    </w:p>
    <w:p>
      <w:r>
        <w:br w:type="page"/>
      </w:r>
    </w:p>
    <w:p>
      <w:pPr>
        <w:pStyle w:val="Heading1"/>
      </w:pPr>
      <w:r>
        <w:t>Appendix  |  Primary sources, URLs, dates and claim scope</w:t>
      </w:r>
    </w:p>
    <w:p>
      <w:pPr>
        <w:pStyle w:val="Small"/>
      </w:pPr>
      <w:r>
        <w:t>The following is the direct-reference register for all substantive assertions in this report. P = peer; T = technology; D = disruptor; R = research; G = regulatory; M = Merck public context. Every URL is provided without tracking parameters. Publication dates are stated when visible; otherwise the entry gives the access date.</w:t>
      </w:r>
    </w:p>
    <w:p>
      <w:pPr>
        <w:pStyle w:val="Heading2"/>
      </w:pPr>
      <w:r>
        <w:t>Peer deployment / practices</w:t>
      </w:r>
    </w:p>
    <w:p>
      <w:pPr>
        <w:pStyle w:val="Small"/>
        <w:keepLines/>
      </w:pPr>
      <w:r>
        <w:rPr>
          <w:b/>
          <w:color w:val="173045"/>
        </w:rPr>
        <w:t>[P01]  TechValidate / LabWare  |  19 Apr 2017 (survey Mar 2016)  |  Janssen Pharmaceutical Companies of Johnson &amp; Johnson: LabWare LIMS v6 / ELN clinical testing case study</w:t>
      </w:r>
      <w:r>
        <w:br/>
        <w:t>Evidence: Customer-specific use of LabWare clinical-testing LIMS/ELN; no explicit critical-reagent module.</w:t>
        <w:br/>
        <w:t>URL: https://cdn.featuredcustomers.com/CustomerCaseStudy.document/A1F-BEC-88D.pdf  |  Accessed 29 Oct 2026.</w:t>
      </w:r>
    </w:p>
    <w:p>
      <w:pPr>
        <w:pStyle w:val="Small"/>
        <w:keepLines/>
      </w:pPr>
      <w:r>
        <w:rPr>
          <w:b/>
          <w:color w:val="173045"/>
        </w:rPr>
        <w:t>[P02]  Genentech authors / Journal of Biomolecular Techniques  |  Oct 2011; system introduced 2004  |  Critical Reagent Analytical Characterization Program at Genentech</w:t>
      </w:r>
      <w:r>
        <w:br/>
        <w:t>Evidence: Historical CritRS critical-reagent management.</w:t>
        <w:br/>
        <w:t>URL: https://pmc.ncbi.nlm.nih.gov/articles/PMC3186605/  |  Accessed 29 Oct 2026.</w:t>
      </w:r>
    </w:p>
    <w:p>
      <w:pPr>
        <w:pStyle w:val="Small"/>
        <w:keepLines/>
      </w:pPr>
      <w:r>
        <w:rPr>
          <w:b/>
          <w:color w:val="173045"/>
        </w:rPr>
        <w:t>[P03]  Cenevo / Titian  |  Undated webpage; accessed 29 Oct 2026  |  Genentech webinar: Managing Complex Biologic Workflows</w:t>
      </w:r>
      <w:r>
        <w:br/>
        <w:t>Evidence: Vendor-hosted statement of Genentech Mosaic biologic libraries and archives; no QC qualification evidence.</w:t>
        <w:br/>
        <w:t>URL: https://www.titian.co.uk/webinar-managing-complex-biologic-workflows-efficiently-via-biologics-management-centralisation  |  Accessed 29 Oct 2026.</w:t>
      </w:r>
    </w:p>
    <w:p>
      <w:pPr>
        <w:pStyle w:val="Small"/>
        <w:keepLines/>
      </w:pPr>
      <w:r>
        <w:rPr>
          <w:b/>
          <w:color w:val="173045"/>
        </w:rPr>
        <w:t>[P04]  Boston Society / Applied Pharmaceutical Analysis  |  6-8 Oct 2025 meeting  |  APA 2025 program; Pfizer scientist biography (PDF page 26)</w:t>
      </w:r>
      <w:r>
        <w:br/>
        <w:t>Evidence: Pfizer critical reagent group described as maintaining centralized inventory; no software identified.</w:t>
        <w:br/>
        <w:t>URL: https://www.bostonsociety.org/APA/images/APA/apa2025programguide.pdf  |  Accessed 29 Oct 2026.</w:t>
      </w:r>
    </w:p>
    <w:p>
      <w:pPr>
        <w:pStyle w:val="Small"/>
        <w:keepLines/>
      </w:pPr>
      <w:r>
        <w:rPr>
          <w:b/>
          <w:color w:val="173045"/>
        </w:rPr>
        <w:t>[P05]  Tecsys  |  18 Mar 2025  |  Roche selection of Tecsys Elite for laboratory inventory</w:t>
      </w:r>
      <w:r>
        <w:br/>
        <w:t>Evidence: Supplier announcement of selection and planned diagnostics laboratory rollout; not completed rollout evidence.</w:t>
        <w:br/>
        <w:t>URL: https://www.tecsys.com/blog/press-release/tecsys-expands-global-reach-with-roche-adoption-of-elite-for-laboratory-inventory-management  |  Accessed 29 Oct 2026.</w:t>
      </w:r>
    </w:p>
    <w:p>
      <w:pPr>
        <w:pStyle w:val="Small"/>
        <w:keepLines/>
      </w:pPr>
      <w:r>
        <w:rPr>
          <w:b/>
          <w:color w:val="173045"/>
        </w:rPr>
        <w:t>[P06]  Cenevo / Titian  |  Undated webpage; accessed 29 Oct 2026  |  AstraZeneca testimonial, Titian success stories</w:t>
      </w:r>
      <w:r>
        <w:br/>
        <w:t>Evidence: Mosaic compound ordering and robotics handling; not biological critical reagents.</w:t>
        <w:br/>
        <w:t>URL: https://www.titian.co.uk/success-stories  |  Accessed 29 Oct 2026.</w:t>
      </w:r>
    </w:p>
    <w:p>
      <w:pPr>
        <w:pStyle w:val="Small"/>
        <w:keepLines/>
      </w:pPr>
      <w:r>
        <w:rPr>
          <w:b/>
          <w:color w:val="173045"/>
        </w:rPr>
        <w:t>[P07]  Benchling / Moderna  |  7 May 2025  |  Benchling and Moderna expanded R&amp;D collaboration</w:t>
      </w:r>
      <w:r>
        <w:br/>
        <w:t>Evidence: Named R&amp;D platform relationship, no biological critical-reagent module identified.</w:t>
        <w:br/>
        <w:t>URL: https://www.benchling.com/blog/benchling-and-moderna-collaborate-ai-driven-research  |  Accessed 29 Oct 2026.</w:t>
      </w:r>
    </w:p>
    <w:p>
      <w:pPr>
        <w:pStyle w:val="Small"/>
        <w:keepLines/>
      </w:pPr>
      <w:r>
        <w:rPr>
          <w:b/>
          <w:color w:val="173045"/>
        </w:rPr>
        <w:t>[P08]  Gilead Sciences  |  Live role; accessed 29 Oct 2026  |  Principal Scientist - Reference Standard &amp; Critical Reagents Lead</w:t>
      </w:r>
      <w:r>
        <w:br/>
        <w:t>Evidence: Role documents reagent lifecycle oversight without naming platform.</w:t>
        <w:br/>
        <w:t>URL: https://gilead.yello.co/jobs/qgki6GuEjIDyaoyPzELKSQ?locale=en  |  Accessed 29 Oct 2026.</w:t>
      </w:r>
    </w:p>
    <w:p>
      <w:pPr>
        <w:pStyle w:val="Small"/>
        <w:keepLines/>
      </w:pPr>
      <w:r>
        <w:rPr>
          <w:b/>
          <w:color w:val="173045"/>
        </w:rPr>
        <w:t>[P09]  Sanofi  |  Live role; accessed 29 Oct 2026  |  Shipping Services Lead, Vaccines R&amp;D</w:t>
      </w:r>
      <w:r>
        <w:br/>
        <w:t>Evidence: Inventory purchasing and distribution duties; no named system.</w:t>
        <w:br/>
        <w:t>URL: https://jobs.sanofi.com/en/job/waltham/shipping-services-lead-vaccines-r-and-d/2649/46261393664  |  Accessed 29 Oct 2026.</w:t>
      </w:r>
    </w:p>
    <w:p>
      <w:pPr>
        <w:pStyle w:val="Small"/>
        <w:keepLines/>
      </w:pPr>
      <w:r>
        <w:rPr>
          <w:b/>
          <w:color w:val="173045"/>
        </w:rPr>
        <w:t>[P10]  Regeneron  |  Live role; accessed 29 Oct 2026  |  Senior Associate Scientist - Bioanalysis</w:t>
      </w:r>
      <w:r>
        <w:br/>
        <w:t>Evidence: Published job role explicitly names unspecified LIMS and ELN for sample workflows, and reagent preparation/qualification; no vendor or reagent module.</w:t>
        <w:br/>
        <w:t>URL: https://careers.regeneron.com/en/jobs/r52541/senior-associate-scientist-bioanalysis/  |  Accessed 29 Oct 2026.</w:t>
      </w:r>
    </w:p>
    <w:p>
      <w:pPr>
        <w:pStyle w:val="Small"/>
        <w:keepLines/>
      </w:pPr>
      <w:r>
        <w:rPr>
          <w:b/>
          <w:color w:val="173045"/>
        </w:rPr>
        <w:t>[P11]  LabWare  |  Undated webpage; accessed 29 Oct 2026  |  Bioanalysis LIMS &amp; ELN industry page, named customer logos</w:t>
      </w:r>
      <w:r>
        <w:br/>
        <w:t>Evidence: Vendor logo association, not proof of reagent inventory module at every named company.</w:t>
        <w:br/>
        <w:t>URL: https://www.labware.com/industries/bioanalysis  |  Accessed 29 Oct 2026.</w:t>
      </w:r>
    </w:p>
    <w:p>
      <w:pPr>
        <w:pStyle w:val="Heading2"/>
      </w:pPr>
      <w:r>
        <w:t>Enterprise platforms / documented functions</w:t>
      </w:r>
    </w:p>
    <w:p>
      <w:pPr>
        <w:pStyle w:val="Small"/>
        <w:keepLines/>
      </w:pPr>
      <w:r>
        <w:rPr>
          <w:b/>
          <w:color w:val="173045"/>
        </w:rPr>
        <w:t>[T01]  Veeva product documentation  |  Undated page; accessed 29 Oct 2026  |  Vault LIMS: Lab Consumables &amp; Instruments</w:t>
      </w:r>
      <w:r>
        <w:br/>
        <w:t>Evidence: Reagents/standards lots and their use recorded in LIMS tests.</w:t>
        <w:br/>
        <w:t>URL: https://lims.veevavault.help/en/lr/51412708/  |  Accessed 29 Oct 2026.</w:t>
      </w:r>
    </w:p>
    <w:p>
      <w:pPr>
        <w:pStyle w:val="Small"/>
        <w:keepLines/>
      </w:pPr>
      <w:r>
        <w:rPr>
          <w:b/>
          <w:color w:val="173045"/>
        </w:rPr>
        <w:t>[T02]  Veeva investor relations  |  4 Mar 2026  |  Fiscal year 2026 results</w:t>
      </w:r>
      <w:r>
        <w:br/>
        <w:t>Evidence: Planned first top-20 LIMS manufacturing-site go-lives in 2026; not QMS adoption proxy.</w:t>
        <w:br/>
        <w:t>URL: https://ir.veeva.com/news/news-details/2026/Veeva-Announces-Fourth-Quarter-and-Fiscal-Year-2026-Results/default.aspx  |  Accessed 29 Oct 2026.</w:t>
      </w:r>
    </w:p>
    <w:p>
      <w:pPr>
        <w:pStyle w:val="Small"/>
        <w:keepLines/>
      </w:pPr>
      <w:r>
        <w:rPr>
          <w:b/>
          <w:color w:val="173045"/>
        </w:rPr>
        <w:t>[T03]  LabWare  |  Undated page; accessed 29 Oct 2026  |  QA/QC SaaS LIMS Inventory Manager</w:t>
      </w:r>
      <w:r>
        <w:br/>
        <w:t>Evidence: Supplier-described reagent/standard inventory functions.</w:t>
        <w:br/>
        <w:t>URL: https://www.labware.com/lims/saas/qaqc  |  Accessed 29 Oct 2026.</w:t>
      </w:r>
    </w:p>
    <w:p>
      <w:pPr>
        <w:pStyle w:val="Small"/>
        <w:keepLines/>
      </w:pPr>
      <w:r>
        <w:rPr>
          <w:b/>
          <w:color w:val="173045"/>
        </w:rPr>
        <w:t>[T04]  Thermo Fisher Scientific  |  Undated FAQ; accessed 29 Oct 2026  |  SampleManager LIMS FAQ - reagent/consumable stocks</w:t>
      </w:r>
      <w:r>
        <w:br/>
        <w:t>Evidence: Stock lots, use in tests, expiry and low-stock alerts.</w:t>
        <w:br/>
        <w:t>URL: https://www.thermofisher.com/order/catalog/product/INF-11000/faqs  |  Accessed 29 Oct 2026.</w:t>
      </w:r>
    </w:p>
    <w:p>
      <w:pPr>
        <w:pStyle w:val="Small"/>
        <w:keepLines/>
      </w:pPr>
      <w:r>
        <w:rPr>
          <w:b/>
          <w:color w:val="173045"/>
        </w:rPr>
        <w:t>[T05]  Benchling  |  11 Sep 2026 updated help  |  Create and track samples with Inventory</w:t>
      </w:r>
      <w:r>
        <w:br/>
        <w:t>Evidence: Research sample and physical container hierarchy.</w:t>
        <w:br/>
        <w:t>URL: https://help.benchling.com/hc/en-us/articles/39943809066637-Create-and-track-samples-with-the-Inventory  |  Accessed 29 Oct 2026.</w:t>
      </w:r>
    </w:p>
    <w:p>
      <w:pPr>
        <w:pStyle w:val="Small"/>
        <w:keepLines/>
      </w:pPr>
      <w:r>
        <w:rPr>
          <w:b/>
          <w:color w:val="173045"/>
        </w:rPr>
        <w:t>[T06]  SAP  |  2025 FPS01 (Feb 2026)  |  Batch-managed materials: shelf-life expiration checks</w:t>
      </w:r>
      <w:r>
        <w:br/>
        <w:t>Evidence: ERP materials lot/expiry capability; not assay-qualified reagent control.</w:t>
        <w:br/>
        <w:t>URL: https://help.sap.com/docs/SAP_S4HANA_ON-PREMISE/91b21005dded4984bcccf4a69ae1300c/c763bd534f22b44ce10000000a174cb4.html  |  Accessed 29 Oct 2026.</w:t>
      </w:r>
    </w:p>
    <w:p>
      <w:pPr>
        <w:pStyle w:val="Small"/>
        <w:keepLines/>
      </w:pPr>
      <w:r>
        <w:rPr>
          <w:b/>
          <w:color w:val="173045"/>
        </w:rPr>
        <w:t>[T07]  Cenevo / Titian  |  Undated page; accessed 29 Oct 2026  |  Mosaic Critical Reagents Management</w:t>
      </w:r>
      <w:r>
        <w:br/>
        <w:t>Evidence: Supplier-described lot parentage, aliquots, freeze-thaw, validation status.</w:t>
        <w:br/>
        <w:t>URL: https://www.titian.co.uk/solutions/critical-reagents-management  |  Accessed 29 Oct 2026.</w:t>
      </w:r>
    </w:p>
    <w:p>
      <w:pPr>
        <w:pStyle w:val="Small"/>
        <w:keepLines/>
      </w:pPr>
      <w:r>
        <w:rPr>
          <w:b/>
          <w:color w:val="173045"/>
        </w:rPr>
        <w:t>[T08]  LabVantage  |  7 Jan 2026  |  Integrated LIMS / ELN reagent lifecycle</w:t>
      </w:r>
      <w:r>
        <w:br/>
        <w:t>Evidence: Vendor analysis of reagent workflow; not named peer deployment.</w:t>
        <w:br/>
        <w:t>URL: https://www.labvantage.com/blog/from-spreadsheets-to-strategy-how-integrated-lims-and-eln-redefine-reagent-lifecycle-management-in-bioanalytical-labs/  |  Accessed 29 Oct 2026.</w:t>
      </w:r>
    </w:p>
    <w:p>
      <w:pPr>
        <w:pStyle w:val="Small"/>
        <w:keepLines/>
      </w:pPr>
      <w:r>
        <w:rPr>
          <w:b/>
          <w:color w:val="173045"/>
        </w:rPr>
        <w:t>[T09]  Bluecrux  |  Undated page; accessed 29 Oct 2026  |  Binocs QC/QA operations</w:t>
      </w:r>
      <w:r>
        <w:br/>
        <w:t>Evidence: Supplier-described replenishment and capacity planning; not confirmed qualified stock ledger.</w:t>
        <w:br/>
        <w:t>URL: https://bluecrux.com/technologies/binocs/qa-qc-lab-planning-and-scheduling-software  |  Accessed 29 Oct 2026.</w:t>
      </w:r>
    </w:p>
    <w:p>
      <w:pPr>
        <w:pStyle w:val="Small"/>
        <w:keepLines/>
      </w:pPr>
      <w:r>
        <w:rPr>
          <w:b/>
          <w:color w:val="173045"/>
        </w:rPr>
        <w:t>[T10]  LabWare  |  16 Aug 2024  |  Critical Reagent Lifecycle Management in Bioanalytical LIMS + ELN</w:t>
      </w:r>
      <w:r>
        <w:br/>
        <w:t>Evidence: Supplier-described bioanalytical critical reagent workflow.</w:t>
        <w:br/>
        <w:t>URL: https://www.labware.com/blog/critical-reagent-lifecyle-management-in-a-bioanalytical-lims-eln-platform  |  Accessed 29 Oct 2026.</w:t>
      </w:r>
    </w:p>
    <w:p>
      <w:pPr>
        <w:pStyle w:val="Small"/>
        <w:keepLines/>
      </w:pPr>
      <w:r>
        <w:rPr>
          <w:b/>
          <w:color w:val="173045"/>
        </w:rPr>
        <w:t>[T11]  LabWare  |  Undated page; accessed 29 Oct 2026  |  Comprehensive Bioanalysis LIMS &amp; ELN</w:t>
      </w:r>
      <w:r>
        <w:br/>
        <w:t>Evidence: Laboratory inventory claim for bioanalysis; named logos not module-specific.</w:t>
        <w:br/>
        <w:t>URL: https://www.labware.com/industries/bioanalysis  |  Accessed 29 Oct 2026.</w:t>
      </w:r>
    </w:p>
    <w:p>
      <w:pPr>
        <w:pStyle w:val="Heading2"/>
      </w:pPr>
      <w:r>
        <w:t>Disruptors</w:t>
      </w:r>
    </w:p>
    <w:p>
      <w:pPr>
        <w:pStyle w:val="Small"/>
        <w:keepLines/>
      </w:pPr>
      <w:r>
        <w:rPr>
          <w:b/>
          <w:color w:val="173045"/>
        </w:rPr>
        <w:t>[D01]  Labviva  |  19 Sep 2024  |  Real-time inventory management system release</w:t>
      </w:r>
      <w:r>
        <w:br/>
        <w:t>Evidence: Supplier announcement of procurement-linked inventory module.</w:t>
        <w:br/>
        <w:t>URL: https://www.labviva.com/news/labviva-introduces-real-time-inventory-management-system-for-life-sciences-purchasing  |  Accessed 29 Oct 2026.</w:t>
      </w:r>
    </w:p>
    <w:p>
      <w:pPr>
        <w:pStyle w:val="Small"/>
        <w:keepLines/>
      </w:pPr>
      <w:r>
        <w:rPr>
          <w:b/>
          <w:color w:val="173045"/>
        </w:rPr>
      </w:r>
      <w:r/>
    </w:p>
    <w:p>
      <w:pPr>
        <w:pStyle w:val="Small"/>
        <w:keepLines/>
      </w:pPr>
      <w:r>
        <w:rPr>
          <w:b/>
          <w:color w:val="173045"/>
        </w:rPr>
        <w:t>[D03]  nvisualAI  |  Undated page; accessed 29 Oct 2026  |  Passive RFID laboratory inventory automation</w:t>
      </w:r>
      <w:r>
        <w:br/>
        <w:t>Evidence: Supplier description of tag/read/restock physical inventory.</w:t>
        <w:br/>
        <w:t>URL: https://nvisualai.com/  |  Accessed 29 Oct 2026.</w:t>
      </w:r>
    </w:p>
    <w:p>
      <w:pPr>
        <w:pStyle w:val="Small"/>
        <w:keepLines/>
      </w:pPr>
      <w:r>
        <w:rPr>
          <w:b/>
          <w:color w:val="173045"/>
        </w:rPr>
        <w:t>[D04]  SciNote  |  Undated page; accessed 29 Oct 2026  |  SciNote inventory and experiment linkage</w:t>
      </w:r>
      <w:r>
        <w:br/>
        <w:t>Evidence: Supplier description of reagent stocks and experiments.</w:t>
        <w:br/>
        <w:t>URL: https://www.scinote.net/product/inventory-management/  |  Accessed 29 Oct 2026.</w:t>
      </w:r>
    </w:p>
    <w:p>
      <w:pPr>
        <w:pStyle w:val="Small"/>
        <w:keepLines/>
      </w:pPr>
      <w:r>
        <w:rPr>
          <w:b/>
          <w:color w:val="173045"/>
        </w:rPr>
        <w:t>[D05]  Scispot  |  Undated page; accessed 29 Oct 2026  |  CellChorus customer story</w:t>
      </w:r>
      <w:r>
        <w:br/>
        <w:t>Evidence: Named small-biotech customer story for sample and inventory processes; supplier-authored.</w:t>
        <w:br/>
        <w:t>URL: https://www.scispot.com/customers/cellchorus-story  |  Accessed 29 Oct 2026.</w:t>
      </w:r>
    </w:p>
    <w:p>
      <w:pPr>
        <w:pStyle w:val="Heading2"/>
      </w:pPr>
      <w:r>
        <w:t>Published research</w:t>
      </w:r>
    </w:p>
    <w:p>
      <w:pPr>
        <w:pStyle w:val="Small"/>
        <w:keepLines/>
      </w:pPr>
      <w:r>
        <w:rPr>
          <w:b/>
          <w:color w:val="173045"/>
        </w:rPr>
        <w:t>[R01]  Feauto et al. / Bioanalysis  |  29 Jul 2022 (publication)  |  Critical Reagent Inventory Management System and Web Portal</w:t>
      </w:r>
      <w:r>
        <w:br/>
        <w:t>Evidence: Peer-reviewed B2S LCM+ implementation.</w:t>
        <w:br/>
        <w:t>URL: https://pubmed.ncbi.nlm.nih.gov/35904158/  |  Accessed 29 Oct 2026.</w:t>
      </w:r>
    </w:p>
    <w:p>
      <w:pPr>
        <w:pStyle w:val="Small"/>
        <w:keepLines/>
      </w:pPr>
      <w:r>
        <w:rPr>
          <w:b/>
          <w:color w:val="173045"/>
        </w:rPr>
        <w:t>[R02]  Feauto et al. / Bioanalysis  |  2022  |  LCM+ full publication (publisher access may vary)</w:t>
      </w:r>
      <w:r>
        <w:br/>
        <w:t>Evidence: Peer-reviewed system architecture using Lockbox LIMS and client portal.</w:t>
        <w:br/>
        <w:t>URL: https://doi.org/10.4155/bio-2022-0096  |  Accessed 29 Oct 2026.</w:t>
      </w:r>
    </w:p>
    <w:p>
      <w:pPr>
        <w:pStyle w:val="Small"/>
        <w:keepLines/>
      </w:pPr>
      <w:r>
        <w:rPr>
          <w:b/>
          <w:color w:val="173045"/>
        </w:rPr>
        <w:t>[R03]  Niemuth et al. / AAPS Journal  |  15 Sep 2023  |  Critical reagent lot equivalence testing case study</w:t>
      </w:r>
      <w:r>
        <w:br/>
        <w:t>Evidence: Statistical testing for replacement critical reagent lots.</w:t>
        <w:br/>
        <w:t>URL: https://pubmed.ncbi.nlm.nih.gov/37715073/  |  Accessed 29 Oct 2026.</w:t>
      </w:r>
    </w:p>
    <w:p>
      <w:pPr>
        <w:pStyle w:val="Small"/>
        <w:keepLines/>
      </w:pPr>
      <w:r>
        <w:rPr>
          <w:b/>
          <w:color w:val="173045"/>
        </w:rPr>
        <w:t>[R04]  Shen et al. / AAPS Journal  |  1 Jul 2026  |  Updated ADC Bioanalysis Framework</w:t>
      </w:r>
      <w:r>
        <w:br/>
        <w:t>Evidence: ADC method and reagent lifecycle scientific considerations.</w:t>
        <w:br/>
        <w:t>URL: https://link.springer.com/article/10.1208/s12248-026-01268-1  |  Accessed 29 Oct 2026.</w:t>
      </w:r>
    </w:p>
    <w:p>
      <w:pPr>
        <w:pStyle w:val="Small"/>
        <w:keepLines/>
      </w:pPr>
      <w:r>
        <w:rPr>
          <w:b/>
          <w:color w:val="173045"/>
        </w:rPr>
      </w:r>
      <w:r/>
    </w:p>
    <w:p>
      <w:pPr>
        <w:pStyle w:val="Small"/>
        <w:keepLines/>
      </w:pPr>
      <w:r>
        <w:rPr>
          <w:b/>
          <w:color w:val="173045"/>
        </w:rPr>
        <w:t>[R06]  Salinas et al. / PLOS One  |  22 May 2026  |  Laboratory Inventory Management Engine (LIME)</w:t>
      </w:r>
      <w:r>
        <w:br/>
        <w:t>Evidence: Barcode-cloud-sheet prototype, not controlled GMP deployment.</w:t>
        <w:br/>
        <w:t>URL: https://journals.plos.org/plosone/article?id=10.1371/journal.pone.0336412  |  Accessed 29 Oct 2026.</w:t>
      </w:r>
    </w:p>
    <w:p>
      <w:pPr>
        <w:pStyle w:val="Heading2"/>
      </w:pPr>
      <w:r>
        <w:t>Regulatory</w:t>
      </w:r>
    </w:p>
    <w:p>
      <w:pPr>
        <w:pStyle w:val="Small"/>
        <w:keepLines/>
      </w:pPr>
      <w:r>
        <w:rPr>
          <w:b/>
          <w:color w:val="173045"/>
        </w:rPr>
        <w:t>[G01]  FDA / ICH  |  Nov 2022  |  M10 Bioanalytical Method Validation and Study Sample Analysis</w:t>
      </w:r>
      <w:r>
        <w:br/>
        <w:t>Evidence: Regulatory guidance for applicable bioanalysis, including critical reagents.</w:t>
        <w:br/>
        <w:t>URL: https://www.fda.gov/regulatory-information/search-fda-guidance-documents/m10-bioanalytical-method-validation-and-study-sample-analysis  |  Accessed 29 Oct 2026.</w:t>
      </w:r>
    </w:p>
    <w:p>
      <w:pPr>
        <w:pStyle w:val="Small"/>
        <w:keepLines/>
      </w:pPr>
      <w:r>
        <w:rPr>
          <w:b/>
          <w:color w:val="173045"/>
        </w:rPr>
      </w:r>
      <w:r/>
    </w:p>
    <w:p>
      <w:pPr>
        <w:pStyle w:val="Small"/>
        <w:keepLines/>
      </w:pPr>
      <w:r>
        <w:rPr>
          <w:b/>
          <w:color w:val="173045"/>
        </w:rPr>
        <w:t>[G03]  FDA  |  Sep 2003  |  Part 11 electronic records and signatures: scope and application</w:t>
      </w:r>
      <w:r>
        <w:br/>
        <w:t>Evidence: Applicability depends on regulated records in scope.</w:t>
        <w:br/>
        <w:t>URL: https://www.fda.gov/regulatory-information/search-fda-guidance-documents/part-11-electronic-records-electronic-signatures-scope-and-application  |  Accessed 29 Oct 2026.</w:t>
      </w:r>
    </w:p>
    <w:p>
      <w:pPr>
        <w:pStyle w:val="Heading2"/>
      </w:pPr>
      <w:r>
        <w:t>Merck portfolio context</w:t>
      </w:r>
    </w:p>
    <w:p>
      <w:pPr>
        <w:pStyle w:val="Small"/>
        <w:keepLines/>
      </w:pPr>
      <w:r>
        <w:rPr>
          <w:b/>
          <w:color w:val="173045"/>
        </w:rPr>
        <w:t>[M01]  Merck &amp; Co.  |  Live page; accessed 29 Oct 2026  |  Merck marketed products</w:t>
      </w:r>
      <w:r>
        <w:br/>
        <w:t>Evidence: Public product portfolio context only.</w:t>
        <w:br/>
        <w:t>URL: https://www.merck.com/products/  |  Accessed 29 Oct 2026.</w:t>
      </w:r>
    </w:p>
    <w:p>
      <w:pPr>
        <w:pStyle w:val="Small"/>
        <w:keepLines/>
      </w:pPr>
      <w:r>
        <w:rPr>
          <w:b/>
          <w:color w:val="173045"/>
        </w:rPr>
        <w:t>[M02]  Merck &amp; Co.  |  Updated 5 Aug 2026  |  Merck public research pipeline</w:t>
      </w:r>
      <w:r>
        <w:br/>
        <w:t>Evidence: Public asset names and disclosed therapeutic modalities.</w:t>
        <w:br/>
        <w:t>URL: https://www.merck.com/research/product-pipeline/  |  Accessed 29 Oct 2026.</w:t>
      </w:r>
    </w:p>
    <w:sectPr w:rsidR="00FC693F" w:rsidRPr="0006063C" w:rsidSect="00034616">
      <w:headerReference w:type="default" r:id="rId9"/>
      <w:footerReference w:type="default" r:id="rId10"/>
      <w:pgSz w:w="11909" w:h="16834"/>
      <w:pgMar w:top="1037"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 xml:space="preserve">MANUFACTURING LEADERSHIP  |  29 OCT 2026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rPr>
        <w:b/>
        <w:color w:val="005B76"/>
      </w:rPr>
      <w:t>DECISION INTELLIGENCE  /  EXTERNAL PEER BENCHMARKING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173045"/>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b/>
      <w:bCs/>
      <w:color w:val="173045"/>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005B76"/>
      <w:sz w:val="20"/>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173045"/>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before="0"/>
      <w:contextualSpacing/>
    </w:pPr>
    <w:rPr>
      <w:rFonts w:asciiTheme="majorHAnsi" w:eastAsiaTheme="majorEastAsia" w:hAnsiTheme="majorHAnsi" w:cstheme="majorBidi" w:ascii="Aptos Display" w:hAnsi="Aptos Display"/>
      <w:b/>
      <w:color w:val="173045"/>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60"/>
    </w:pPr>
    <w:rPr>
      <w:rFonts w:ascii="Aptos" w:hAnsi="Aptos"/>
      <w:color w:val="485765"/>
      <w:sz w:val="15"/>
    </w:rPr>
  </w:style>
  <w:style w:type="paragraph" w:customStyle="1" w:styleId="Micro">
    <w:name w:val="Micro"/>
    <w:pPr>
      <w:spacing w:after="60"/>
    </w:pPr>
    <w:rPr>
      <w:rFonts w:ascii="Aptos" w:hAnsi="Aptos"/>
      <w:color w:val="485765"/>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Biological Critical Reagent Inventory | External Peer Biopharma Market Intelligence</dc:title>
  <dc:subject>Public-source peer technology benchmark for manufacturing leaders</dc:subject>
  <dc:creator>Decision Intelligence</dc:creator>
  <cp:keywords>critical reagents, biological inventory, peer biopharma, LIMS, evidence</cp:keywords>
  <dc:description>generated by python-docx</dc:description>
  <cp:lastModifiedBy/>
  <cp:revision>1</cp:revision>
  <dcterms:created xsi:type="dcterms:W3CDTF">2013-12-23T23:15:00Z</dcterms:created>
  <dcterms:modified xsi:type="dcterms:W3CDTF">2013-12-23T23:15:00Z</dcterms:modified>
  <cp:category/>
</cp:coreProperties>
</file>