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media/image2.png" ContentType="image/pn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rPr>
        <w:t>Lab 2</w:t>
      </w:r>
    </w:p>
    <w:p>
      <w:pPr>
        <w:pStyle w:val="Normal"/>
        <w:jc w:val="center"/>
        <w:rPr/>
      </w:pPr>
      <w:r>
        <w:rPr>
          <w:rFonts w:cs="Times New Roman" w:ascii="Times New Roman" w:hAnsi="Times New Roman"/>
          <w:b/>
        </w:rPr>
        <w:tab/>
        <w:t>Threat agent/threat modelling</w:t>
      </w:r>
    </w:p>
    <w:p>
      <w:pPr>
        <w:pStyle w:val="Normal"/>
        <w:jc w:val="center"/>
        <w:rPr>
          <w:rFonts w:ascii="Times New Roman" w:hAnsi="Times New Roman" w:cs="Times New Roman"/>
        </w:rPr>
      </w:pPr>
      <w:r>
        <w:rPr/>
      </w:r>
    </w:p>
    <w:p>
      <w:pPr>
        <w:pStyle w:val="Normal"/>
        <w:bidi w:val="0"/>
        <w:ind w:left="0" w:right="0" w:firstLine="680"/>
        <w:jc w:val="both"/>
        <w:rPr>
          <w:b/>
          <w:b/>
          <w:bCs/>
        </w:rPr>
      </w:pPr>
      <w:r>
        <w:rPr>
          <w:rFonts w:cs="Times New Roman" w:ascii="Times New Roman" w:hAnsi="Times New Roman"/>
          <w:b/>
          <w:bCs/>
        </w:rPr>
        <w:t xml:space="preserve">Defining </w:t>
      </w:r>
      <w:r>
        <w:rPr>
          <w:rFonts w:cs="Times New Roman" w:ascii="Times New Roman" w:hAnsi="Times New Roman"/>
          <w:b/>
          <w:bCs/>
        </w:rPr>
        <w:t xml:space="preserve"> assets</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rPr>
        <w:t>Table 1. Information assets</w:t>
      </w:r>
    </w:p>
    <w:p>
      <w:pPr>
        <w:pStyle w:val="Normal"/>
        <w:bidi w:val="0"/>
        <w:ind w:left="0" w:right="0" w:firstLine="680"/>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0</wp:posOffset>
            </wp:positionH>
            <wp:positionV relativeFrom="paragraph">
              <wp:posOffset>30480</wp:posOffset>
            </wp:positionV>
            <wp:extent cx="6120765" cy="3426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765" cy="3426460"/>
                    </a:xfrm>
                    <a:prstGeom prst="rect">
                      <a:avLst/>
                    </a:prstGeom>
                  </pic:spPr>
                </pic:pic>
              </a:graphicData>
            </a:graphic>
          </wp:anchor>
        </w:drawing>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 xml:space="preserve">Agent Attributes </w:t>
      </w:r>
      <w:r>
        <w:rPr>
          <w:rFonts w:cs="Times New Roman" w:ascii="Times New Roman" w:hAnsi="Times New Roman"/>
        </w:rPr>
        <w:t>- a common set of characteristics that are used to define each agent uniquely. We settled on eight attributes: intent, access, outcome, limits, resource, skill level, objective, and visibility.</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1. </w:t>
      </w:r>
      <w:r>
        <w:rPr>
          <w:rFonts w:cs="Times New Roman" w:ascii="Times New Roman" w:hAnsi="Times New Roman"/>
          <w:b/>
          <w:bCs/>
        </w:rPr>
        <w:t>Intent</w:t>
      </w:r>
      <w:r>
        <w:rPr>
          <w:rFonts w:cs="Times New Roman" w:ascii="Times New Roman" w:hAnsi="Times New Roman"/>
        </w:rPr>
        <w:t xml:space="preserve"> - defines whether the agent intends to cause harm. Agents fall into two categories depending on their intent: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Hostile</w:t>
      </w:r>
      <w:r>
        <w:rPr>
          <w:rFonts w:cs="Times New Roman" w:ascii="Times New Roman" w:hAnsi="Times New Roman"/>
        </w:rPr>
        <w:t>: The agent starts with the intent to harm or inappropriately use assets, and the agent takes deliberate actions to achieve that result.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Non-Hostile:</w:t>
      </w:r>
      <w:r>
        <w:rPr>
          <w:rFonts w:cs="Times New Roman" w:ascii="Times New Roman" w:hAnsi="Times New Roman"/>
        </w:rPr>
        <w:t xml:space="preserve"> The agent is friendly and intends to protect assets, but accidentally or mistakenly takes actions that result in harm.</w:t>
      </w:r>
    </w:p>
    <w:p>
      <w:pPr>
        <w:pStyle w:val="Normal"/>
        <w:bidi w:val="0"/>
        <w:ind w:left="0" w:right="0" w:firstLine="680"/>
        <w:jc w:val="both"/>
        <w:rPr>
          <w:rFonts w:ascii="Times New Roman" w:hAnsi="Times New Roman" w:cs="Times New Roman"/>
        </w:rPr>
      </w:pPr>
      <w:r>
        <w:rPr>
          <w:rFonts w:cs="Times New Roman" w:ascii="Times New Roman" w:hAnsi="Times New Roman"/>
        </w:rPr>
        <w:t>Third category could be added - Environmental, to ensure that risk managers take into account uncontrollable and non-targeted threats occurring in the physical environment, such as fire, flood, pandemic, and military actions.</w:t>
      </w:r>
    </w:p>
    <w:p>
      <w:pPr>
        <w:pStyle w:val="Normal"/>
        <w:bidi w:val="0"/>
        <w:ind w:left="0" w:right="0" w:firstLine="680"/>
        <w:jc w:val="both"/>
        <w:rPr>
          <w:b/>
          <w:b/>
          <w:bCs/>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2. Access</w:t>
      </w:r>
      <w:r>
        <w:rPr>
          <w:rFonts w:cs="Times New Roman" w:ascii="Times New Roman" w:hAnsi="Times New Roman"/>
        </w:rPr>
        <w:t xml:space="preserve"> - defines the extent of the agents access to the company’s assets. There are two options:</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Internal</w:t>
      </w:r>
      <w:r>
        <w:rPr>
          <w:rFonts w:cs="Times New Roman" w:ascii="Times New Roman" w:hAnsi="Times New Roman"/>
        </w:rPr>
        <w:t>: Agent has internal access.</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External</w:t>
      </w:r>
      <w:r>
        <w:rPr>
          <w:rFonts w:cs="Times New Roman" w:ascii="Times New Roman" w:hAnsi="Times New Roman"/>
        </w:rPr>
        <w:t>: Agent has only external access.</w:t>
      </w:r>
    </w:p>
    <w:p>
      <w:pPr>
        <w:pStyle w:val="Normal"/>
        <w:bidi w:val="0"/>
        <w:ind w:left="0" w:right="0" w:firstLine="680"/>
        <w:jc w:val="both"/>
        <w:rPr>
          <w:b/>
          <w:b/>
          <w:bCs/>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3. Outcome</w:t>
      </w:r>
      <w:r>
        <w:rPr>
          <w:rFonts w:cs="Times New Roman" w:ascii="Times New Roman" w:hAnsi="Times New Roman"/>
        </w:rPr>
        <w:t xml:space="preserve"> - usually defines the agent primary goal what the agent hopes to accomplish with a typical attack. However, with non-hostile agents, such as an untrained employee, the outcome may be unintentional. The agent may use many methods to achieve this goal, and the primary goal may have secondary or ancillary effects. Possible outcomes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Acquisition/Theft:</w:t>
      </w:r>
      <w:r>
        <w:rPr>
          <w:rFonts w:cs="Times New Roman" w:ascii="Times New Roman" w:hAnsi="Times New Roman"/>
        </w:rPr>
        <w:t xml:space="preserve"> Illicit acquisition of valuable assets for resale or extortion in a way that preserves the assets integrity but may incidentally damage other items in the process.</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 xml:space="preserve">BusinessAdvantage: </w:t>
      </w:r>
      <w:r>
        <w:rPr>
          <w:rFonts w:cs="Times New Roman" w:ascii="Times New Roman" w:hAnsi="Times New Roman"/>
        </w:rPr>
        <w:t>Increased ability to compete in a market with a given set of products. The goal is to acquire business processes or assets.</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Damage</w:t>
      </w:r>
      <w:r>
        <w:rPr>
          <w:rFonts w:cs="Times New Roman" w:ascii="Times New Roman" w:hAnsi="Times New Roman"/>
        </w:rPr>
        <w:t>: Injury to personnel, physical or electronic assets, or intellectual property.</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Embarrassment</w:t>
      </w:r>
      <w:r>
        <w:rPr>
          <w:rFonts w:cs="Times New Roman" w:ascii="Times New Roman" w:hAnsi="Times New Roman"/>
        </w:rPr>
        <w:t>: Public portrayal of unflattering light, causing to lose influence, credibility, competitiveness, or stock value.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TechnicalAdvantage</w:t>
      </w:r>
      <w:r>
        <w:rPr>
          <w:rFonts w:cs="Times New Roman" w:ascii="Times New Roman" w:hAnsi="Times New Roman"/>
        </w:rPr>
        <w:t>: Illicit improvement of a specific product or production capability. The primary target is to acquire production processes or assets rather than a business process.</w:t>
      </w:r>
    </w:p>
    <w:p>
      <w:pPr>
        <w:pStyle w:val="Normal"/>
        <w:bidi w:val="0"/>
        <w:ind w:left="0" w:right="0" w:firstLine="680"/>
        <w:jc w:val="both"/>
        <w:rPr>
          <w:b/>
          <w:b/>
          <w:bCs/>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4. Limits</w:t>
      </w:r>
      <w:r>
        <w:rPr>
          <w:rFonts w:cs="Times New Roman" w:ascii="Times New Roman" w:hAnsi="Times New Roman"/>
        </w:rPr>
        <w:t xml:space="preserve"> - these are the legal and ethical limits that may constrain the agent. This characteristic also defines the extent to which the agent may be prepared to break the law. Options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 xml:space="preserve">Code of Conduct: </w:t>
      </w:r>
      <w:r>
        <w:rPr>
          <w:rFonts w:cs="Times New Roman" w:ascii="Times New Roman" w:hAnsi="Times New Roman"/>
        </w:rPr>
        <w:t>Agents typically follow both the applicable laws and an additional code of conduct accepted within a profession or an exchange of goods or services. Example: an auditor falls within the Information Partner agent archetype.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Legal</w:t>
      </w:r>
      <w:r>
        <w:rPr>
          <w:rFonts w:cs="Times New Roman" w:ascii="Times New Roman" w:hAnsi="Times New Roman"/>
        </w:rPr>
        <w:t>: Agents act within the limits of applicable laws. Example: Legal Adversary.</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 xml:space="preserve">Extra-legal, minor: </w:t>
      </w:r>
      <w:r>
        <w:rPr>
          <w:rFonts w:cs="Times New Roman" w:ascii="Times New Roman" w:hAnsi="Times New Roman"/>
        </w:rPr>
        <w:t>Agents may break the law in relatively minor, non-violent ways, such as minor vandalism or trespass. Example: Activist.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 xml:space="preserve">Extra-legal, major: </w:t>
      </w:r>
      <w:r>
        <w:rPr>
          <w:rFonts w:cs="Times New Roman" w:ascii="Times New Roman" w:hAnsi="Times New Roman"/>
        </w:rPr>
        <w:t>Agents take no account of the law and may engage in felonious behaviour resulting in significant financial impact or extreme violence. Example: members of organised crime organisations (Mobster agent).</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5. Resource</w:t>
      </w:r>
      <w:r>
        <w:rPr>
          <w:rFonts w:cs="Times New Roman" w:ascii="Times New Roman" w:hAnsi="Times New Roman"/>
        </w:rPr>
        <w:t xml:space="preserve"> - defines the organisational level at which an agent typically works, which in turn determines the resources available to that agent for use in an attack. This attribute is linked to the Skill Level attributes a specific organisational level implies that the agent has access to at least a specific skill level. Options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Individual</w:t>
      </w:r>
      <w:r>
        <w:rPr>
          <w:rFonts w:cs="Times New Roman" w:ascii="Times New Roman" w:hAnsi="Times New Roman"/>
        </w:rPr>
        <w:t>: Resources limited to the average individual; agent acts independently. Minimum skill level: None.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Club</w:t>
      </w:r>
      <w:r>
        <w:rPr>
          <w:rFonts w:cs="Times New Roman" w:ascii="Times New Roman" w:hAnsi="Times New Roman"/>
        </w:rPr>
        <w:t>: Members interact on social and volunteer basis, often with little personal interest in the specific target. An example might be a core group of unrelated activists who regularly exchange tips on a particular blog. Group persists long term. Minimum skill level: Minimal.</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Contest</w:t>
      </w:r>
      <w:r>
        <w:rPr>
          <w:rFonts w:cs="Times New Roman" w:ascii="Times New Roman" w:hAnsi="Times New Roman"/>
        </w:rPr>
        <w:t>: A Short-lived and perhaps anonymous interaction that concludes when the participants have achieved a single goal. For example, people who break into systems just for thrills or prestige (agent Cyber-Vandal) may run contests to see who can break into a specific target first. Minimum skill level: Operational.</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Team</w:t>
      </w:r>
      <w:r>
        <w:rPr>
          <w:rFonts w:cs="Times New Roman" w:ascii="Times New Roman" w:hAnsi="Times New Roman"/>
        </w:rPr>
        <w:t>: A formally organised group with a leader, typically motivated by a specific goal and organised around that goal. Group persists long term and typically operates within a single geography. Minimum skill level: Operational.</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Organisation</w:t>
      </w:r>
      <w:r>
        <w:rPr>
          <w:rFonts w:cs="Times New Roman" w:ascii="Times New Roman" w:hAnsi="Times New Roman"/>
        </w:rPr>
        <w:t>: Larger and better resourced than a Team; typically a company. Usually operates in multiple geographies and persists long term. Minimum skill level: Adept.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Government</w:t>
      </w:r>
      <w:r>
        <w:rPr>
          <w:rFonts w:cs="Times New Roman" w:ascii="Times New Roman" w:hAnsi="Times New Roman"/>
        </w:rPr>
        <w:t>: Controls public assets and functions within a jurisdiction; very well resourced and persists long term. Minimum skill level: Adept.</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 xml:space="preserve">6. Skill Level: </w:t>
      </w:r>
      <w:r>
        <w:rPr>
          <w:rFonts w:cs="Times New Roman" w:ascii="Times New Roman" w:hAnsi="Times New Roman"/>
        </w:rPr>
        <w:t>The special training or expertise an agent typically possesses. Options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None</w:t>
      </w:r>
      <w:r>
        <w:rPr>
          <w:rFonts w:cs="Times New Roman" w:ascii="Times New Roman" w:hAnsi="Times New Roman"/>
        </w:rPr>
        <w:t>: Has average intelligence and ability and can easily carry out random acts of disruption or destruction, but has no expertise or training in the specific methods necessary for a targeted attack.</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Minimal</w:t>
      </w:r>
      <w:r>
        <w:rPr>
          <w:rFonts w:cs="Times New Roman" w:ascii="Times New Roman" w:hAnsi="Times New Roman"/>
        </w:rPr>
        <w:t>: Can copy and use existing techniques. Example: Untrained Employee.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Operational</w:t>
      </w:r>
      <w:r>
        <w:rPr>
          <w:rFonts w:cs="Times New Roman" w:ascii="Times New Roman" w:hAnsi="Times New Roman"/>
        </w:rPr>
        <w:t>: Understand underlying technology or methods and can create new attacks within a narrow domain.</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Adept</w:t>
      </w:r>
      <w:r>
        <w:rPr>
          <w:rFonts w:cs="Times New Roman" w:ascii="Times New Roman" w:hAnsi="Times New Roman"/>
        </w:rPr>
        <w:t>: expert in technology and attack methods, and can both apply existing attacks and create new ones to greatest advantage. Example: Legal Adversary.</w:t>
      </w:r>
    </w:p>
    <w:p>
      <w:pPr>
        <w:pStyle w:val="Normal"/>
        <w:bidi w:val="0"/>
        <w:ind w:left="0" w:right="0" w:firstLine="680"/>
        <w:jc w:val="both"/>
        <w:rPr>
          <w:b/>
          <w:b/>
          <w:bCs/>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7. Objective</w:t>
      </w:r>
      <w:r>
        <w:rPr>
          <w:rFonts w:cs="Times New Roman" w:ascii="Times New Roman" w:hAnsi="Times New Roman"/>
        </w:rPr>
        <w:t xml:space="preserve"> - the action that the agent intends to take in order to achieve a desired outcome. Options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Copy</w:t>
      </w:r>
      <w:r>
        <w:rPr>
          <w:rFonts w:cs="Times New Roman" w:ascii="Times New Roman" w:hAnsi="Times New Roman"/>
        </w:rPr>
        <w:t>: Make a replica of the asset so the agent has simultaneous access to it.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Destroy</w:t>
      </w:r>
      <w:r>
        <w:rPr>
          <w:rFonts w:cs="Times New Roman" w:ascii="Times New Roman" w:hAnsi="Times New Roman"/>
        </w:rPr>
        <w:t>: Destroy the asset, which becomes worthless to either or the agent.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Injure</w:t>
      </w:r>
      <w:r>
        <w:rPr>
          <w:rFonts w:cs="Times New Roman" w:ascii="Times New Roman" w:hAnsi="Times New Roman"/>
        </w:rPr>
        <w:t>: Damage the asset, which remains in ownerâ€™s possession but has only limited functionality or value.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Take</w:t>
      </w:r>
      <w:r>
        <w:rPr>
          <w:rFonts w:cs="Times New Roman" w:ascii="Times New Roman" w:hAnsi="Times New Roman"/>
        </w:rPr>
        <w:t>: Gain possession of the asset so that owner has no access to it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Don’t Care:</w:t>
      </w:r>
      <w:r>
        <w:rPr>
          <w:rFonts w:cs="Times New Roman" w:ascii="Times New Roman" w:hAnsi="Times New Roman"/>
        </w:rPr>
        <w:t xml:space="preserve"> The agent does not have a rational plan, or may make a choice opportunistically at the time of attack.</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8. Visibility</w:t>
      </w:r>
      <w:r>
        <w:rPr>
          <w:rFonts w:cs="Times New Roman" w:ascii="Times New Roman" w:hAnsi="Times New Roman"/>
        </w:rPr>
        <w:t xml:space="preserve"> - the extent to which the agent intends to conceal or reveal his or her identity. Options are:</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Overt</w:t>
      </w:r>
      <w:r>
        <w:rPr>
          <w:rFonts w:cs="Times New Roman" w:ascii="Times New Roman" w:hAnsi="Times New Roman"/>
        </w:rPr>
        <w:t>: The agent deliberately makes the attack and the agent’s identity is known before or at the time of execution.</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Covert</w:t>
      </w:r>
      <w:r>
        <w:rPr>
          <w:rFonts w:cs="Times New Roman" w:ascii="Times New Roman" w:hAnsi="Times New Roman"/>
        </w:rPr>
        <w:t>: The victim knows about the attack at the time it occurs, or soon after. However, the agent of the attack intends to remain unidentified.</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Clandestine</w:t>
      </w:r>
      <w:r>
        <w:rPr>
          <w:rFonts w:cs="Times New Roman" w:ascii="Times New Roman" w:hAnsi="Times New Roman"/>
        </w:rPr>
        <w:t>: The agent intends to keep both the attack and his or her identity secret.</w:t>
      </w:r>
    </w:p>
    <w:p>
      <w:pPr>
        <w:pStyle w:val="Normal"/>
        <w:bidi w:val="0"/>
        <w:ind w:left="0" w:right="0" w:firstLine="6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bCs/>
        </w:rPr>
        <w:t xml:space="preserve">Don’t Care: </w:t>
      </w:r>
      <w:r>
        <w:rPr>
          <w:rFonts w:cs="Times New Roman" w:ascii="Times New Roman" w:hAnsi="Times New Roman"/>
        </w:rPr>
        <w:t>The agent does not have a rational plan, may make a choice opportunistically at the time of attack, or may not place importance on secrecy.</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rPr>
      </w:pPr>
      <w:r>
        <w:rPr>
          <w:rFonts w:cs="Times New Roman" w:ascii="Times New Roman" w:hAnsi="Times New Roman"/>
          <w:b/>
          <w:bCs/>
        </w:rPr>
        <w:t xml:space="preserve">The Agents. </w:t>
      </w:r>
      <w:r>
        <w:rPr>
          <w:rFonts w:cs="Times New Roman" w:ascii="Times New Roman" w:hAnsi="Times New Roman"/>
        </w:rPr>
        <w:t>To define the agents, we use an iterative process that began with a simple one sentence description of each agent. Our cross-functional team then progressively refined these definitions using the teams experience supplemented with outside references and expertise. Each agent has a unique set of attribute values, as shown in Table 1.</w:t>
      </w:r>
    </w:p>
    <w:p>
      <w:pPr>
        <w:pStyle w:val="Normal"/>
        <w:bidi w:val="0"/>
        <w:ind w:left="0" w:right="0" w:firstLine="680"/>
        <w:jc w:val="both"/>
        <w:rPr>
          <w:rFonts w:ascii="Times New Roman" w:hAnsi="Times New Roman" w:cs="Times New Roman"/>
        </w:rPr>
      </w:pPr>
      <w:r>
        <w:rPr>
          <w:rFonts w:cs="Times New Roman" w:ascii="Times New Roman" w:hAnsi="Times New Roman"/>
        </w:rPr>
        <w:t>In addition to ensuring the uniqueness of each agent, this approach would enable risk managers to select relevant agents by first identifying the attributes that an agent must possess in order to represent a threat. We aimed to create agent definitions that were specific enough to be useful in risk assessments. For example, instead of defining a single agent to encompass all the current uses of the term hacker, we defined several different agents. One of these, Cyber Vandal, represented one original meaning of the term hacker: someone who intends to intrude into systems for thrills or prestige among peers. However, we also developed other real-world agents such as Data Miner, Internal Spy, Mobster, Government Spy, and Government Cyberwarrior to cover other agents that often are described using the umbrella term hacker.</w:t>
      </w:r>
    </w:p>
    <w:p>
      <w:pPr>
        <w:pStyle w:val="Normal"/>
        <w:bidi w:val="0"/>
        <w:ind w:left="0" w:right="0" w:firstLine="680"/>
        <w:jc w:val="both"/>
        <w:rPr>
          <w:rFonts w:ascii="Times New Roman" w:hAnsi="Times New Roman" w:cs="Times New Roman"/>
        </w:rPr>
      </w:pPr>
      <w:r>
        <w:rPr>
          <w:rFonts w:cs="Times New Roman" w:ascii="Times New Roman" w:hAnsi="Times New Roman"/>
        </w:rPr>
        <w:t>The information that we provide to risk managers includes the matrix of agents and their attributes (as in Table 1) and a text-based summary reference list including brief descriptions of the agents, their common tactics, and current ratings, as shown in Table 2.</w:t>
      </w:r>
    </w:p>
    <w:p>
      <w:pPr>
        <w:pStyle w:val="Normal"/>
        <w:bidi w:val="0"/>
        <w:ind w:left="0" w:right="0" w:firstLine="680"/>
        <w:jc w:val="both"/>
        <w:rPr>
          <w:rFonts w:ascii="Times New Roman" w:hAnsi="Times New Roman" w:cs="Times New Roman"/>
        </w:rPr>
      </w:pPr>
      <w:r>
        <w:rPr>
          <w:rFonts w:cs="Times New Roman" w:ascii="Times New Roman" w:hAnsi="Times New Roman"/>
        </w:rPr>
        <w:t>Some business units add environmental agents such as natural disasters and pandemics to the library of human agents, to ensure that assessors take them into consideration. However, providing more detail about these is beyond the scope of our group, so these business units must consult other resources, such as local authorities and security SMEs within the affected area, to characterise and assess those threats.</w:t>
      </w:r>
    </w:p>
    <w:p>
      <w:pPr>
        <w:pStyle w:val="Normal"/>
        <w:bidi w:val="0"/>
        <w:ind w:left="0" w:right="0" w:hanging="0"/>
        <w:jc w:val="both"/>
        <w:rPr>
          <w:rFonts w:ascii="Times New Roman" w:hAnsi="Times New Roman" w:cs="Times New Roman"/>
        </w:rPr>
      </w:pPr>
      <w:r>
        <w:rPr>
          <w:rFonts w:cs="Times New Roman" w:ascii="Times New Roman" w:hAnsi="Times New Roman"/>
        </w:rPr>
      </w:r>
    </w:p>
    <w:p>
      <w:pPr>
        <w:pStyle w:val="Normal"/>
        <w:bidi w:val="0"/>
        <w:ind w:left="0" w:right="0" w:firstLine="680"/>
        <w:jc w:val="left"/>
        <w:rPr>
          <w:rFonts w:ascii="Times New Roman" w:hAnsi="Times New Roman" w:cs="Times New Roman"/>
        </w:rPr>
      </w:pPr>
      <w:r>
        <w:rPr>
          <w:rFonts w:cs="Times New Roman" w:ascii="Times New Roman" w:hAnsi="Times New Roman"/>
          <w:b/>
          <w:bCs/>
        </w:rPr>
        <w:t xml:space="preserve">Table 2. </w:t>
      </w:r>
      <w:r>
        <w:rPr>
          <w:rFonts w:cs="Times New Roman" w:ascii="Times New Roman" w:hAnsi="Times New Roman"/>
          <w:b/>
          <w:bCs/>
        </w:rPr>
        <w:t>Summary Agent Information</w:t>
      </w:r>
    </w:p>
    <w:p>
      <w:pPr>
        <w:pStyle w:val="Normal"/>
        <w:bidi w:val="0"/>
        <w:ind w:left="0" w:right="0" w:firstLine="680"/>
        <w:jc w:val="both"/>
        <w:rPr>
          <w:rFonts w:ascii="Times New Roman" w:hAnsi="Times New Roman" w:cs="Times New Roman"/>
        </w:rPr>
      </w:pPr>
      <w:r>
        <w:rPr>
          <w:rFonts w:cs="Times New Roman" w:ascii="Times New Roman" w:hAnsi="Times New Roman"/>
        </w:rPr>
      </w:r>
    </w:p>
    <w:tbl>
      <w:tblPr>
        <w:tblW w:w="963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77"/>
        <w:gridCol w:w="1899"/>
        <w:gridCol w:w="2523"/>
        <w:gridCol w:w="4140"/>
      </w:tblGrid>
      <w:tr>
        <w:trPr/>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Agent title</w:t>
            </w:r>
          </w:p>
        </w:tc>
        <w:tc>
          <w:tcPr>
            <w:tcW w:w="25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Common tactics/Actions</w:t>
            </w:r>
          </w:p>
        </w:tc>
        <w:tc>
          <w:tcPr>
            <w:tcW w:w="41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Descriptions</w:t>
            </w:r>
          </w:p>
        </w:tc>
      </w:tr>
      <w:tr>
        <w:trPr/>
        <w:tc>
          <w:tcPr>
            <w:tcW w:w="107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Hostile</w:t>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Anarchist</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Violence, property destruction, physical business disruption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Someone who rejects all forms of structure, private or public, and acts with few constraints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Civil Activist</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Electronic or physical business disruption; theft of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Someone who rejects all forms of structure, private or public, and acts with few constraints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Competitor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Business adversary who competes for revenues or resources (acquisitions, etc.)</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Corrupt Government Official</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Organizational or physical business disruption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Person who inappropriately uses his or her position within the government to acquire company resources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Cyber Vandal</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Network/computing disruption, web hijacking, malware</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Derives thrills from intrusion or destruction of property, without strong agenda</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Data Miner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PII,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Professional data gatherer external to the company (includes cyber methods)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Employee, Disgruntled</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Abuse of privileges for sabotage, cyber or physical</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Current or former employee with intent to harm the company</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Government Spy</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State-sponsored spy as a trusted insider, supporting idealistic goals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Government Cyberwarrior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Organizational, infrastructural, and physical business disruption, through network/computing disruption, web hijacking, malware</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State-sponsored attacker with significant resources to affect major disruption on national scale</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Internal Spy</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PII,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Professional data gatherer as a trusted insider,generally with a simple profit motive</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Irrational Individual</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Personal violence resulting in physical business disruption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Someone with illogical purpose and irrational behavior</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Legal Adversary</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Organizational business disruption, access to IP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Adversary in legal proceedings against the company, warranted or not</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Mobster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PII, or business data; violence</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Manager of organized crime organization with significant resources</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Radical Activist</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Property destruction, physical business disruption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Highly motivated, potentially destructive supporter of cause</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Sensationalist</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Public announcements for PR crises, theft of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Attention-grabber who may employ any method for notoriety; looking for â€œ15 minutes of fameâ€</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Terrorist</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Violence, property destruction, physical business disruption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Person who relies on the use of violence to support personal socio-political agenda</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Thief</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hardware goods or IP, PII,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Opportunistic individual with simple profit motive</w:t>
            </w:r>
          </w:p>
        </w:tc>
      </w:tr>
      <w:tr>
        <w:trPr/>
        <w:tc>
          <w:tcPr>
            <w:tcW w:w="1077"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Vendor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Theft of IP or business data</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Business partner who seeks inside information for financial advantage over competitors</w:t>
            </w:r>
          </w:p>
        </w:tc>
      </w:tr>
      <w:tr>
        <w:trPr/>
        <w:tc>
          <w:tcPr>
            <w:tcW w:w="1077"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Non-hostile</w:t>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Employee, Reckless</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Benign shortcuts and misuse of authorisations, pushed wrong button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Current employee who knowingly and deliberately circumvents safeguards for expediency, but intends no harm or serious consequences</w:t>
            </w:r>
          </w:p>
        </w:tc>
      </w:tr>
      <w:tr>
        <w:trPr/>
        <w:tc>
          <w:tcPr>
            <w:tcW w:w="1077"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Employee, Untrained</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Poor process, unforeseen mistakes, pushed wrong button</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Current employee with harmless intent but unknowingly misuses system or safeguards</w:t>
            </w:r>
          </w:p>
        </w:tc>
      </w:tr>
      <w:tr>
        <w:trPr/>
        <w:tc>
          <w:tcPr>
            <w:tcW w:w="1077" w:type="dxa"/>
            <w:vMerge w:val="continue"/>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r>
          </w:p>
        </w:tc>
        <w:tc>
          <w:tcPr>
            <w:tcW w:w="1899"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Information Partner</w:t>
            </w:r>
          </w:p>
        </w:tc>
        <w:tc>
          <w:tcPr>
            <w:tcW w:w="252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Poor internal protection of company proprietary materials</w:t>
            </w:r>
          </w:p>
        </w:tc>
        <w:tc>
          <w:tcPr>
            <w:tcW w:w="41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cs="Times New Roman"/>
              </w:rPr>
            </w:pPr>
            <w:r>
              <w:rPr>
                <w:rFonts w:cs="Times New Roman" w:ascii="Times New Roman" w:hAnsi="Times New Roman"/>
              </w:rPr>
              <w:t>Someone with whom the company has voluntarily shared sensitive data</w:t>
            </w:r>
          </w:p>
        </w:tc>
      </w:tr>
    </w:tbl>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center"/>
        <w:rPr>
          <w:rFonts w:ascii="Calibri" w:hAnsi="Calibri" w:eastAsia="Times New Roman"/>
          <w:color w:val="000000"/>
          <w:lang w:val="en-GB"/>
        </w:rPr>
      </w:pPr>
      <w:r>
        <w:rPr>
          <w:rFonts w:ascii="Cambria" w:hAnsi="Cambria"/>
          <w:b w:val="false"/>
          <w:i w:val="false"/>
          <w:caps w:val="false"/>
          <w:smallCaps w:val="false"/>
          <w:color w:val="000000"/>
          <w:spacing w:val="0"/>
          <w:sz w:val="24"/>
          <w:szCs w:val="24"/>
        </w:rPr>
      </w:r>
    </w:p>
    <w:p>
      <w:pPr>
        <w:pStyle w:val="ListContents"/>
        <w:bidi w:val="0"/>
        <w:ind w:left="0" w:right="0" w:firstLine="680"/>
        <w:jc w:val="both"/>
        <w:rPr>
          <w:rFonts w:ascii="Cambria" w:hAnsi="Cambria" w:cs="Times New Roman"/>
          <w:color w:val="000000"/>
          <w:sz w:val="24"/>
          <w:szCs w:val="24"/>
        </w:rPr>
      </w:pPr>
      <w:r>
        <w:rPr>
          <w:rFonts w:cs="Times New Roman" w:ascii="Cambria" w:hAnsi="Cambria"/>
          <w:color w:val="000000"/>
          <w:sz w:val="24"/>
          <w:szCs w:val="24"/>
        </w:rPr>
      </w:r>
    </w:p>
    <w:p>
      <w:pPr>
        <w:pStyle w:val="Normal"/>
        <w:bidi w:val="0"/>
        <w:ind w:left="0" w:right="0" w:firstLine="680"/>
        <w:jc w:val="center"/>
        <w:rPr>
          <w:rFonts w:ascii="Cambria" w:hAnsi="Cambria" w:cs="Times New Roman"/>
          <w:color w:val="000000"/>
          <w:sz w:val="24"/>
          <w:szCs w:val="24"/>
        </w:rPr>
      </w:pPr>
      <w:r>
        <w:rPr>
          <w:rFonts w:cs="Times New Roman" w:ascii="Cambria" w:hAnsi="Cambria"/>
          <w:color w:val="000000"/>
          <w:sz w:val="24"/>
          <w:szCs w:val="24"/>
        </w:rPr>
      </w:r>
    </w:p>
    <w:p>
      <w:pPr>
        <w:pStyle w:val="Normal"/>
        <w:bidi w:val="0"/>
        <w:ind w:left="0" w:right="0" w:firstLine="680"/>
        <w:jc w:val="center"/>
        <w:rPr>
          <w:rFonts w:ascii="Times New Roman" w:hAnsi="Times New Roman" w:cs="Times New Roman"/>
          <w:b/>
          <w:b/>
          <w:bCs/>
        </w:rPr>
      </w:pPr>
      <w:r>
        <w:rPr>
          <w:rFonts w:cs="Times New Roman" w:ascii="Times New Roman" w:hAnsi="Times New Roman"/>
          <w:b/>
          <w:bCs/>
        </w:rPr>
        <w:t>Exercises</w:t>
      </w:r>
    </w:p>
    <w:p>
      <w:pPr>
        <w:pStyle w:val="Normal"/>
        <w:bidi w:val="0"/>
        <w:ind w:left="0" w:right="0" w:firstLine="680"/>
        <w:jc w:val="both"/>
        <w:rPr>
          <w:rFonts w:ascii="Times New Roman" w:hAnsi="Times New Roman" w:cs="Times New Roman"/>
        </w:rPr>
      </w:pPr>
      <w:r>
        <w:rPr>
          <w:rFonts w:cs="Times New Roman" w:ascii="Times New Roman" w:hAnsi="Times New Roman"/>
        </w:rPr>
      </w:r>
    </w:p>
    <w:p>
      <w:pPr>
        <w:pStyle w:val="Normal"/>
        <w:bidi w:val="0"/>
        <w:ind w:left="0" w:right="0" w:firstLine="680"/>
        <w:jc w:val="both"/>
        <w:rPr>
          <w:rFonts w:ascii="Times New Roman" w:hAnsi="Times New Roman" w:cs="Times New Roman"/>
          <w:b/>
          <w:b/>
          <w:bCs/>
          <w:color w:val="000000"/>
          <w:sz w:val="24"/>
          <w:szCs w:val="24"/>
        </w:rPr>
      </w:pPr>
      <w:r>
        <w:rPr>
          <w:rFonts w:cs="Times New Roman" w:ascii="Times New Roman" w:hAnsi="Times New Roman"/>
          <w:b/>
          <w:bCs/>
          <w:i w:val="false"/>
          <w:strike w:val="false"/>
          <w:dstrike w:val="false"/>
          <w:outline w:val="false"/>
          <w:shadow w:val="false"/>
          <w:color w:val="000000"/>
          <w:sz w:val="24"/>
          <w:szCs w:val="24"/>
          <w:u w:val="none"/>
          <w:em w:val="none"/>
        </w:rPr>
        <w:t xml:space="preserve">Task 1. For each agent find unique set of attribute values </w:t>
      </w:r>
      <w:r>
        <w:rPr>
          <w:rFonts w:cs="Times New Roman" w:ascii="Times New Roman" w:hAnsi="Times New Roman"/>
          <w:b/>
          <w:bCs/>
          <w:i w:val="false"/>
          <w:strike w:val="false"/>
          <w:dstrike w:val="false"/>
          <w:outline w:val="false"/>
          <w:shadow w:val="false"/>
          <w:color w:val="000000"/>
          <w:sz w:val="24"/>
          <w:szCs w:val="24"/>
          <w:u w:val="none"/>
          <w:em w:val="none"/>
        </w:rPr>
        <w:t xml:space="preserve">(MS Excel “Task 1”). </w:t>
      </w:r>
    </w:p>
    <w:p>
      <w:pPr>
        <w:pStyle w:val="Normal"/>
        <w:bidi w:val="0"/>
        <w:ind w:left="0" w:right="0" w:firstLine="680"/>
        <w:jc w:val="both"/>
        <w:rPr>
          <w:i w:val="false"/>
          <w:i w:val="false"/>
          <w:strike w:val="false"/>
          <w:dstrike w:val="false"/>
          <w:outline w:val="false"/>
          <w:shadow w:val="false"/>
          <w:u w:val="none"/>
          <w:em w:val="none"/>
        </w:rPr>
      </w:pPr>
      <w:r>
        <w:rPr>
          <w:rFonts w:cs="Times New Roman" w:ascii="Times New Roman" w:hAnsi="Times New Roman"/>
          <w:b/>
          <w:bCs/>
          <w:color w:val="000000"/>
          <w:sz w:val="24"/>
          <w:szCs w:val="24"/>
        </w:rPr>
      </w:r>
    </w:p>
    <w:p>
      <w:pPr>
        <w:sectPr>
          <w:type w:val="nextPage"/>
          <w:pgSz w:w="11906" w:h="16838"/>
          <w:pgMar w:left="1417" w:right="850" w:header="0" w:top="1134" w:footer="0" w:bottom="1134" w:gutter="0"/>
          <w:pgNumType w:fmt="decimal"/>
          <w:formProt w:val="false"/>
          <w:textDirection w:val="lrTb"/>
          <w:docGrid w:type="default" w:linePitch="360" w:charSpace="4294961151"/>
        </w:sectPr>
        <w:pStyle w:val="Normal"/>
        <w:bidi w:val="0"/>
        <w:ind w:left="0" w:right="0" w:firstLine="680"/>
        <w:jc w:val="both"/>
        <w:rPr>
          <w:rFonts w:ascii="Times New Roman" w:hAnsi="Times New Roman" w:cs="Times New Roman"/>
          <w:i w:val="false"/>
          <w:i w:val="false"/>
          <w:strike w:val="false"/>
          <w:dstrike w:val="false"/>
          <w:outline w:val="false"/>
          <w:shadow w:val="false"/>
          <w:u w:val="none"/>
          <w:em w:val="none"/>
        </w:rPr>
      </w:pPr>
      <w:r>
        <w:rPr/>
      </w:r>
    </w:p>
    <w:p>
      <w:pPr>
        <w:pStyle w:val="Normal"/>
        <w:rPr/>
      </w:pPr>
      <w:r>
        <w:rPr/>
      </w:r>
    </w:p>
    <w:p>
      <w:pPr>
        <w:pStyle w:val="Normal"/>
        <w:jc w:val="both"/>
        <w:rPr>
          <w:rFonts w:ascii="Times New Roman" w:hAnsi="Times New Roman"/>
          <w:b/>
          <w:b/>
          <w:bCs/>
        </w:rPr>
      </w:pPr>
      <w:r>
        <w:rPr>
          <w:rFonts w:ascii="Times New Roman" w:hAnsi="Times New Roman"/>
          <w:b/>
          <w:bCs/>
          <w:lang w:val="en-GB"/>
        </w:rPr>
        <w:t xml:space="preserve">Task 2. </w:t>
      </w:r>
      <w:r>
        <w:rPr>
          <w:rFonts w:ascii="Times New Roman" w:hAnsi="Times New Roman"/>
          <w:b/>
          <w:bCs/>
          <w:lang w:val="en-GB"/>
        </w:rPr>
        <w:t xml:space="preserve">Finish the table by </w:t>
      </w:r>
      <w:r>
        <w:rPr>
          <w:rFonts w:ascii="Times New Roman" w:hAnsi="Times New Roman"/>
          <w:b/>
          <w:bCs/>
          <w:lang w:val="en-GB"/>
        </w:rPr>
        <w:t>identifying threats for each asset</w:t>
      </w:r>
    </w:p>
    <w:p>
      <w:pPr>
        <w:pStyle w:val="Normal"/>
        <w:rPr>
          <w:lang w:val="en-GB"/>
        </w:rPr>
      </w:pPr>
      <w:r>
        <w:rPr>
          <w:lang w:val="en-GB"/>
        </w:rPr>
      </w:r>
    </w:p>
    <w:tbl>
      <w:tblPr>
        <w:tblW w:w="15317" w:type="dxa"/>
        <w:jc w:val="left"/>
        <w:tblInd w:w="93"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top w:w="0" w:type="dxa"/>
          <w:left w:w="103" w:type="dxa"/>
          <w:bottom w:w="0" w:type="dxa"/>
          <w:right w:w="108" w:type="dxa"/>
        </w:tblCellMar>
        <w:tblLook w:val="04a0" w:noVBand="1" w:noHBand="0" w:lastColumn="0" w:firstColumn="1" w:lastRow="0" w:firstRow="1"/>
      </w:tblPr>
      <w:tblGrid>
        <w:gridCol w:w="3919"/>
        <w:gridCol w:w="676"/>
        <w:gridCol w:w="577"/>
        <w:gridCol w:w="557"/>
        <w:gridCol w:w="796"/>
        <w:gridCol w:w="676"/>
        <w:gridCol w:w="736"/>
        <w:gridCol w:w="915"/>
        <w:gridCol w:w="1313"/>
        <w:gridCol w:w="796"/>
        <w:gridCol w:w="895"/>
        <w:gridCol w:w="557"/>
        <w:gridCol w:w="636"/>
        <w:gridCol w:w="498"/>
        <w:gridCol w:w="636"/>
        <w:gridCol w:w="1134"/>
      </w:tblGrid>
      <w:tr>
        <w:trPr>
          <w:trHeight w:val="300" w:hRule="atLeast"/>
        </w:trPr>
        <w:tc>
          <w:tcPr>
            <w:tcW w:w="3919"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0"/>
                <w:lang w:val="en-GB"/>
              </w:rPr>
              <w:t>Assets</w:t>
            </w:r>
          </w:p>
        </w:tc>
        <w:tc>
          <w:tcPr>
            <w:tcW w:w="11398" w:type="dxa"/>
            <w:gridSpan w:val="15"/>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pPr>
            <w:r>
              <w:rPr>
                <w:rFonts w:eastAsia="Times New Roman" w:cs="Times New Roman" w:ascii="Calibri" w:hAnsi="Calibri"/>
                <w:color w:val="000000"/>
                <w:lang w:val="en-GB"/>
              </w:rPr>
              <w:t>Threats</w:t>
            </w:r>
          </w:p>
        </w:tc>
      </w:tr>
      <w:tr>
        <w:trPr>
          <w:trHeight w:val="2522" w:hRule="atLeast"/>
        </w:trPr>
        <w:tc>
          <w:tcPr>
            <w:tcW w:w="3919"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s="Times New Roman"/>
                <w:color w:val="000000"/>
                <w:lang w:val="en-GB"/>
              </w:rPr>
            </w:pPr>
            <w:r>
              <w:rPr>
                <w:rFonts w:eastAsia="Times New Roman" w:cs="Times New Roman" w:ascii="Calibri" w:hAnsi="Calibri"/>
                <w:color w:val="000000"/>
                <w:lang w:val="en-GB"/>
              </w:rPr>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Firmware Modification</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Traffic Sniffing</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Hardware Modification</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Unauthorized physical access/entry</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Compliance</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Modification-of-Service</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Denial of service attacks (DoS/DDoS)</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Violations of law or regulation/breaches of legislation</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Address space hijacking (IP prefixes)</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Unintentional damages (accidental)</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Social engineering</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Identity theft</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Malware and viruses</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reputation</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Compromising confidential information (data breaches)</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pPr>
            <w:r>
              <w:rPr/>
              <w:t>Server, desktop, switch, router, connectors, hub</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pPr>
            <w:r>
              <w:rPr/>
              <w:t>Cables, cell phone, TV, DVD, storage devices</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b w:val="false"/>
                <w:b w:val="false"/>
                <w:bCs w:val="false"/>
              </w:rPr>
            </w:pPr>
            <w:r>
              <w:rPr>
                <w:b w:val="false"/>
                <w:bCs w:val="false"/>
              </w:rPr>
              <w:t>Articles, white paper, press release, music files, patents</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b w:val="false"/>
                <w:b w:val="false"/>
                <w:bCs w:val="false"/>
              </w:rPr>
            </w:pPr>
            <w:r>
              <w:rPr>
                <w:rFonts w:eastAsia="Times New Roman" w:cs="Times New Roman" w:ascii="Calibri" w:hAnsi="Calibri"/>
                <w:b w:val="false"/>
                <w:bCs w:val="false"/>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rFonts w:ascii="Cambria" w:hAnsi="Cambria"/>
                <w:b w:val="false"/>
                <w:b w:val="false"/>
                <w:bCs w:val="false"/>
                <w:sz w:val="20"/>
                <w:szCs w:val="20"/>
              </w:rPr>
            </w:pPr>
            <w:r>
              <w:rPr>
                <w:rFonts w:ascii="Cambria" w:hAnsi="Cambria"/>
                <w:b w:val="false"/>
                <w:bCs w:val="false"/>
                <w:sz w:val="20"/>
                <w:szCs w:val="20"/>
              </w:rPr>
              <w:t>UPS (</w:t>
            </w:r>
            <w:r>
              <w:rPr>
                <w:rFonts w:ascii="Cambria" w:hAnsi="Cambria"/>
                <w:b w:val="false"/>
                <w:bCs w:val="false"/>
                <w:i w:val="false"/>
                <w:caps w:val="false"/>
                <w:smallCaps w:val="false"/>
                <w:color w:val="222222"/>
                <w:spacing w:val="0"/>
                <w:sz w:val="20"/>
                <w:szCs w:val="20"/>
              </w:rPr>
              <w:t>uninterruptible power source</w:t>
            </w:r>
            <w:r>
              <w:rPr>
                <w:rFonts w:ascii="Cambria" w:hAnsi="Cambria"/>
                <w:b w:val="false"/>
                <w:bCs w:val="false"/>
                <w:sz w:val="20"/>
                <w:szCs w:val="20"/>
              </w:rPr>
              <w:t>)</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b w:val="false"/>
                <w:b w:val="false"/>
                <w:bCs w:val="false"/>
              </w:rPr>
            </w:pPr>
            <w:r>
              <w:rPr>
                <w:rFonts w:eastAsia="Times New Roman" w:cs="Times New Roman" w:ascii="Calibri" w:hAnsi="Calibri"/>
                <w:b w:val="false"/>
                <w:bCs w:val="false"/>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rFonts w:ascii="Cambria" w:hAnsi="Cambria"/>
              </w:rPr>
            </w:pPr>
            <w:r>
              <w:rPr>
                <w:rFonts w:ascii="Cambria" w:hAnsi="Cambria"/>
              </w:rPr>
              <w:t>Application programs</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pPr>
            <w:r>
              <w:rPr/>
              <w:t>Customer, employees’ and suppliers’ information (credit card, phone number...), web applications, inventory, supply and demand, marketing software</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52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pPr>
            <w:r>
              <w:rPr/>
              <w:t>Copyright, survey data, trademarks, trade names, licenses, contracts, procedures, programs and procedures.</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391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TableContents"/>
              <w:rPr/>
            </w:pPr>
            <w:r>
              <w:rPr/>
              <w:t>Server, desktop, switch, router, connectors, hub</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7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7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91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13"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79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95"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57"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49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36"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bl>
    <w:p>
      <w:pPr>
        <w:pStyle w:val="Normal"/>
        <w:rPr>
          <w:lang w:val="en-GB"/>
        </w:rPr>
      </w:pPr>
      <w:r>
        <w:rPr>
          <w:lang w:val="en-GB"/>
        </w:rPr>
      </w:r>
    </w:p>
    <w:p>
      <w:pPr>
        <w:pStyle w:val="Normal"/>
        <w:rPr/>
      </w:pPr>
      <w:r>
        <w:rPr/>
      </w:r>
    </w:p>
    <w:p>
      <w:pPr>
        <w:pStyle w:val="Normal"/>
        <w:rPr/>
      </w:pPr>
      <w:r>
        <w:rPr/>
      </w:r>
    </w:p>
    <w:p>
      <w:pPr>
        <w:pStyle w:val="Normal"/>
        <w:rPr/>
      </w:pPr>
      <w:r>
        <w:rPr/>
      </w:r>
    </w:p>
    <w:p>
      <w:pPr>
        <w:pStyle w:val="Normal"/>
        <w:rPr/>
      </w:pPr>
      <w:r>
        <w:rPr/>
      </w:r>
    </w:p>
    <w:p>
      <w:pPr>
        <w:pStyle w:val="Normal"/>
        <w:jc w:val="both"/>
        <w:rPr>
          <w:rFonts w:ascii="Times New Roman" w:hAnsi="Times New Roman"/>
          <w:b/>
          <w:b/>
          <w:bCs/>
        </w:rPr>
      </w:pPr>
      <w:r>
        <w:rPr>
          <w:rFonts w:ascii="Times New Roman" w:hAnsi="Times New Roman"/>
          <w:b/>
          <w:bCs/>
          <w:lang w:val="en-GB"/>
        </w:rPr>
        <w:t xml:space="preserve">Task </w:t>
      </w:r>
      <w:r>
        <w:rPr>
          <w:rFonts w:ascii="Times New Roman" w:hAnsi="Times New Roman"/>
          <w:b/>
          <w:bCs/>
          <w:lang w:val="en-GB"/>
        </w:rPr>
        <w:t>3</w:t>
      </w:r>
      <w:r>
        <w:rPr>
          <w:rFonts w:ascii="Times New Roman" w:hAnsi="Times New Roman"/>
          <w:b/>
          <w:bCs/>
          <w:lang w:val="en-GB"/>
        </w:rPr>
        <w:t xml:space="preserve">. </w:t>
      </w:r>
      <w:r>
        <w:rPr>
          <w:rFonts w:ascii="Times New Roman" w:hAnsi="Times New Roman"/>
          <w:b/>
          <w:bCs/>
          <w:lang w:val="en-GB"/>
        </w:rPr>
        <w:t xml:space="preserve">Finish the table by estimating likelihood of attack: </w:t>
      </w:r>
      <w:r>
        <w:rPr>
          <w:rFonts w:ascii="Times New Roman" w:hAnsi="Times New Roman"/>
          <w:b/>
          <w:bCs/>
          <w:lang w:val="en-GB"/>
        </w:rPr>
        <w:t>from 0 to 1</w:t>
      </w:r>
      <w:r>
        <w:rPr>
          <w:rFonts w:ascii="Times New Roman" w:hAnsi="Times New Roman"/>
          <w:b/>
          <w:bCs/>
          <w:lang w:val="en-GB"/>
        </w:rPr>
        <w:t>. Calculate probability of attack by each threat agent. Show result using chart as you can see below.</w:t>
      </w:r>
    </w:p>
    <w:p>
      <w:pPr>
        <w:pStyle w:val="Normal"/>
        <w:rPr>
          <w:lang w:val="en-GB"/>
        </w:rPr>
      </w:pPr>
      <w:r>
        <w:rPr>
          <w:lang w:val="en-GB"/>
        </w:rPr>
      </w:r>
    </w:p>
    <w:tbl>
      <w:tblPr>
        <w:tblW w:w="15020" w:type="dxa"/>
        <w:jc w:val="left"/>
        <w:tblInd w:w="93"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top w:w="0" w:type="dxa"/>
          <w:left w:w="103" w:type="dxa"/>
          <w:bottom w:w="0" w:type="dxa"/>
          <w:right w:w="108" w:type="dxa"/>
        </w:tblCellMar>
        <w:tblLook w:val="04a0" w:noVBand="1" w:noHBand="0" w:lastColumn="0" w:firstColumn="1" w:lastRow="0" w:firstRow="1"/>
      </w:tblPr>
      <w:tblGrid>
        <w:gridCol w:w="2440"/>
        <w:gridCol w:w="681"/>
        <w:gridCol w:w="560"/>
        <w:gridCol w:w="620"/>
        <w:gridCol w:w="1061"/>
        <w:gridCol w:w="680"/>
        <w:gridCol w:w="801"/>
        <w:gridCol w:w="1099"/>
        <w:gridCol w:w="1301"/>
        <w:gridCol w:w="1020"/>
        <w:gridCol w:w="1020"/>
        <w:gridCol w:w="540"/>
        <w:gridCol w:w="600"/>
        <w:gridCol w:w="659"/>
        <w:gridCol w:w="640"/>
        <w:gridCol w:w="1294"/>
      </w:tblGrid>
      <w:tr>
        <w:trPr>
          <w:trHeight w:val="300" w:hRule="atLeast"/>
        </w:trPr>
        <w:tc>
          <w:tcPr>
            <w:tcW w:w="2440"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color w:val="000000"/>
                <w:lang w:val="en-GB"/>
              </w:rPr>
              <w:t>Threat agents</w:t>
            </w:r>
          </w:p>
        </w:tc>
        <w:tc>
          <w:tcPr>
            <w:tcW w:w="12576" w:type="dxa"/>
            <w:gridSpan w:val="15"/>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pPr>
            <w:r>
              <w:rPr>
                <w:rFonts w:eastAsia="Times New Roman" w:cs="Times New Roman" w:ascii="Calibri" w:hAnsi="Calibri"/>
                <w:color w:val="000000"/>
                <w:lang w:val="en-GB"/>
              </w:rPr>
              <w:t>Threats</w:t>
            </w:r>
          </w:p>
        </w:tc>
      </w:tr>
      <w:tr>
        <w:trPr>
          <w:trHeight w:val="2522" w:hRule="atLeast"/>
        </w:trPr>
        <w:tc>
          <w:tcPr>
            <w:tcW w:w="2440"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s="Times New Roman"/>
                <w:color w:val="000000"/>
                <w:lang w:val="en-GB"/>
              </w:rPr>
            </w:pPr>
            <w:r>
              <w:rPr>
                <w:rFonts w:eastAsia="Times New Roman" w:cs="Times New Roman" w:ascii="Calibri" w:hAnsi="Calibri"/>
                <w:color w:val="000000"/>
                <w:lang w:val="en-GB"/>
              </w:rPr>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Firmware Modification</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Traffic Sniffing</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Hardware Modification</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Unauthorized physical access/entry</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Compliance</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Modification-of-Service</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Denial of service attacks (DoS/DDoS)</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Violations of law or regulation/breaches of legislation</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Address space hijacking (IP prefixes)</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Unintentional damages (accidental)</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Social engineering</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Identity theft</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Malware and viruses</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reputation</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Compromising confidential information (data breaches)</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Employee Reckless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Employee Untrained</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Info Partner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Anarchist</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Civil Activist</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Competitor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52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Corrupt Government Official</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Data Miner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Employee Disgruntled</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52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Government Cyberwarrior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Government Spy</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Internal Spy</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Irrational Individual</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Legal Adversary</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Mobster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Radical Activist</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Sensationalist</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Terrorist</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Thief</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Vandal</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231F20"/>
              <w:right w:val="single" w:sz="4" w:space="0" w:color="00000A"/>
              <w:insideH w:val="single" w:sz="4" w:space="0" w:color="231F20"/>
              <w:insideV w:val="single" w:sz="4" w:space="0" w:color="00000A"/>
            </w:tcBorders>
            <w:shd w:color="auto" w:fill="auto" w:val="clear"/>
            <w:tcMar>
              <w:left w:w="103" w:type="dxa"/>
            </w:tcMar>
            <w:vAlign w:val="center"/>
          </w:tcPr>
          <w:p>
            <w:pPr>
              <w:pStyle w:val="Normal"/>
              <w:rPr/>
            </w:pPr>
            <w:r>
              <w:rPr>
                <w:rFonts w:eastAsia="Times New Roman" w:cs="Times New Roman" w:ascii="Verdana" w:hAnsi="Verdana"/>
                <w:color w:val="231F20"/>
                <w:sz w:val="20"/>
                <w:szCs w:val="20"/>
                <w:lang w:val="en-GB"/>
              </w:rPr>
              <w:t>Vendor</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bl>
    <w:p>
      <w:pPr>
        <w:pStyle w:val="Normal"/>
        <w:rPr>
          <w:lang w:val="en-GB"/>
        </w:rPr>
      </w:pPr>
      <w:r>
        <w:rPr>
          <w:lang w:val="en-GB"/>
        </w:rPr>
      </w:r>
    </w:p>
    <w:p>
      <w:pPr>
        <w:pStyle w:val="Normal"/>
        <w:rPr>
          <w:lang w:val="en-GB"/>
        </w:rPr>
      </w:pPr>
      <w:r>
        <w:rPr/>
      </w:r>
    </w:p>
    <w:p>
      <w:pPr>
        <w:pStyle w:val="Normal"/>
        <w:rPr>
          <w:lang w:val="en-GB"/>
        </w:rPr>
      </w:pPr>
      <w:r>
        <w:rPr/>
      </w:r>
    </w:p>
    <w:p>
      <w:pPr>
        <w:pStyle w:val="Normal"/>
        <w:rPr/>
      </w:pPr>
      <w:r>
        <w:rPr>
          <w:lang w:val="en-GB"/>
        </w:rPr>
        <w:t>Result</w:t>
      </w:r>
      <w:r>
        <w:rPr>
          <w:lang w:val="en-GB"/>
        </w:rPr>
        <w:t>:</w:t>
      </w:r>
    </w:p>
    <w:p>
      <w:pPr>
        <w:pStyle w:val="Normal"/>
        <w:rPr/>
      </w:pPr>
      <w:r>
        <w:rPr>
          <w:lang w:val="en-GB"/>
        </w:rPr>
        <w:drawing>
          <wp:inline distT="0" distB="0" distL="0" distR="0">
            <wp:extent cx="5029200" cy="4019550"/>
            <wp:effectExtent l="0" t="0" r="0" b="0"/>
            <wp:docPr id="2" name="Изображение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descr=""/>
                    <pic:cNvPicPr>
                      <a:picLocks noChangeAspect="1" noChangeArrowheads="1"/>
                    </pic:cNvPicPr>
                  </pic:nvPicPr>
                  <pic:blipFill>
                    <a:blip r:embed="rId3"/>
                    <a:stretch>
                      <a:fillRect/>
                    </a:stretch>
                  </pic:blipFill>
                  <pic:spPr bwMode="auto">
                    <a:xfrm>
                      <a:off x="0" y="0"/>
                      <a:ext cx="5029200" cy="4019550"/>
                    </a:xfrm>
                    <a:prstGeom prst="rect">
                      <a:avLst/>
                    </a:prstGeom>
                  </pic:spPr>
                </pic:pic>
              </a:graphicData>
            </a:graphic>
          </wp:inline>
        </w:drawing>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left"/>
        <w:rPr>
          <w:lang w:val="en-GB"/>
        </w:rPr>
      </w:pPr>
      <w:r>
        <w:rPr>
          <w:lang w:val="en-GB"/>
        </w:rPr>
        <w:t xml:space="preserve">Task 4. </w:t>
      </w:r>
      <w:r>
        <w:rPr>
          <w:lang w:val="en-GB"/>
        </w:rPr>
        <w:t>Finish the table by estimating</w:t>
      </w:r>
      <w:r>
        <w:rPr>
          <w:lang w:val="en-US"/>
        </w:rPr>
        <w:t xml:space="preserve"> the influence of each security measure on threats</w:t>
      </w:r>
      <w:r>
        <w:rPr>
          <w:lang w:val="en-GB"/>
        </w:rPr>
        <w:t xml:space="preserve"> from 0 to </w:t>
      </w:r>
      <w:r>
        <w:rPr>
          <w:lang w:val="en-GB"/>
        </w:rPr>
        <w:t>5</w:t>
      </w:r>
      <w:r>
        <w:rPr>
          <w:lang w:val="en-GB"/>
        </w:rPr>
        <w:t xml:space="preserve"> (</w:t>
      </w:r>
      <w:r>
        <w:rPr>
          <w:lang w:val="en-GB"/>
        </w:rPr>
        <w:t>5</w:t>
      </w:r>
      <w:r>
        <w:rPr>
          <w:lang w:val="en-GB"/>
        </w:rPr>
        <w:t xml:space="preserve"> – security measure fully prevent attack, 0 – security measure is useless against threat)</w:t>
      </w:r>
    </w:p>
    <w:p>
      <w:pPr>
        <w:pStyle w:val="Normal"/>
        <w:jc w:val="left"/>
        <w:rPr>
          <w:lang w:val="en-GB"/>
        </w:rPr>
      </w:pPr>
      <w:r>
        <w:rPr>
          <w:lang w:val="en-GB"/>
        </w:rPr>
      </w:r>
    </w:p>
    <w:p>
      <w:pPr>
        <w:pStyle w:val="Normal"/>
        <w:rPr>
          <w:lang w:val="en-GB"/>
        </w:rPr>
      </w:pPr>
      <w:r>
        <w:rPr>
          <w:lang w:val="en-GB"/>
        </w:rPr>
      </w:r>
    </w:p>
    <w:tbl>
      <w:tblPr>
        <w:tblW w:w="15020" w:type="dxa"/>
        <w:jc w:val="left"/>
        <w:tblInd w:w="93"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CellMar>
          <w:top w:w="0" w:type="dxa"/>
          <w:left w:w="103" w:type="dxa"/>
          <w:bottom w:w="0" w:type="dxa"/>
          <w:right w:w="108" w:type="dxa"/>
        </w:tblCellMar>
        <w:tblLook w:val="04a0" w:noVBand="1" w:noHBand="0" w:lastColumn="0" w:firstColumn="1" w:lastRow="0" w:firstRow="1"/>
      </w:tblPr>
      <w:tblGrid>
        <w:gridCol w:w="2440"/>
        <w:gridCol w:w="681"/>
        <w:gridCol w:w="560"/>
        <w:gridCol w:w="620"/>
        <w:gridCol w:w="1061"/>
        <w:gridCol w:w="680"/>
        <w:gridCol w:w="801"/>
        <w:gridCol w:w="1099"/>
        <w:gridCol w:w="1301"/>
        <w:gridCol w:w="1020"/>
        <w:gridCol w:w="1020"/>
        <w:gridCol w:w="540"/>
        <w:gridCol w:w="600"/>
        <w:gridCol w:w="659"/>
        <w:gridCol w:w="640"/>
        <w:gridCol w:w="1294"/>
      </w:tblGrid>
      <w:tr>
        <w:trPr>
          <w:trHeight w:val="300" w:hRule="atLeast"/>
        </w:trPr>
        <w:tc>
          <w:tcPr>
            <w:tcW w:w="2440"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jc w:val="center"/>
              <w:rPr/>
            </w:pPr>
            <w:r>
              <w:rPr>
                <w:rFonts w:eastAsia="Times New Roman" w:cs="Times New Roman" w:ascii="Calibri" w:hAnsi="Calibri" w:asciiTheme="majorHAnsi" w:hAnsiTheme="majorHAnsi"/>
                <w:color w:val="000000"/>
                <w:lang w:val="en-GB"/>
              </w:rPr>
              <w:t>Security measures</w:t>
            </w:r>
          </w:p>
        </w:tc>
        <w:tc>
          <w:tcPr>
            <w:tcW w:w="12576" w:type="dxa"/>
            <w:gridSpan w:val="15"/>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pPr>
            <w:r>
              <w:rPr>
                <w:rFonts w:eastAsia="Times New Roman" w:cs="Times New Roman" w:ascii="Calibri" w:hAnsi="Calibri"/>
                <w:color w:val="000000"/>
                <w:lang w:val="en-GB"/>
              </w:rPr>
              <w:t>Threats</w:t>
            </w:r>
          </w:p>
        </w:tc>
      </w:tr>
      <w:tr>
        <w:trPr>
          <w:trHeight w:val="2522" w:hRule="atLeast"/>
        </w:trPr>
        <w:tc>
          <w:tcPr>
            <w:tcW w:w="2440"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s="Times New Roman" w:asciiTheme="majorHAnsi" w:hAnsiTheme="majorHAnsi"/>
                <w:color w:val="000000"/>
                <w:lang w:val="en-GB"/>
              </w:rPr>
            </w:pPr>
            <w:r>
              <w:rPr>
                <w:rFonts w:eastAsia="Times New Roman" w:cs="Times New Roman" w:ascii="Calibri" w:hAnsi="Calibri"/>
                <w:color w:val="000000"/>
                <w:lang w:val="en-GB"/>
              </w:rPr>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Firmware Modification</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Traffic Sniffing</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Hardware Modification</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Unauthorized physical access/entry</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Compliance</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Modification-of-Service</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Denial of service attacks (DoS/DDoS)</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Violations of law or regulation/breaches of legislation</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Address space hijacking (IP prefixes)</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Unintentional damages (accidental)</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Social engineering</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Identity theft</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Malware and viruses</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Loss of reputation</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textDirection w:val="btLr"/>
            <w:vAlign w:val="bottom"/>
          </w:tcPr>
          <w:p>
            <w:pPr>
              <w:pStyle w:val="Normal"/>
              <w:rPr/>
            </w:pPr>
            <w:r>
              <w:rPr>
                <w:rFonts w:eastAsia="Times New Roman" w:cs="Arial" w:ascii="Arial" w:hAnsi="Arial"/>
                <w:color w:val="000000"/>
                <w:lang w:val="en-GB"/>
              </w:rPr>
              <w:t>Compromising confidential information (data breaches)</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rPr>
              <w:t>Identification and Authentication</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rPr>
              <w:t>Access Control</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Security intelligence systems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perimeter controls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widowControl w:val="false"/>
              <w:spacing w:lineRule="atLeast" w:line="280" w:before="0" w:after="240"/>
              <w:rPr/>
            </w:pPr>
            <w:r>
              <w:rPr>
                <w:rFonts w:cs="Times Roman" w:ascii="Calibri" w:hAnsi="Calibri" w:asciiTheme="majorHAnsi" w:hAnsiTheme="majorHAnsi"/>
                <w:color w:val="000000"/>
                <w:lang w:val="en-US"/>
              </w:rPr>
              <w:t>encryption technologies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Automation, orchestration and machine learning</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52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rPr>
              <w:t>Firewalls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anti-virus protection</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rPr>
              <w:t>Intrusion detection system</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52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b w:val="false"/>
                <w:bCs w:val="false"/>
                <w:color w:val="000000"/>
                <w:lang w:val="en-US"/>
              </w:rPr>
              <w:t>Internal or IT audit</w:t>
            </w:r>
            <w:r>
              <w:rPr>
                <w:rFonts w:cs="Times Roman" w:ascii="Calibri" w:hAnsi="Calibri" w:asciiTheme="majorHAnsi" w:hAnsiTheme="majorHAnsi"/>
                <w:b/>
                <w:bCs/>
                <w:color w:val="000000"/>
                <w:lang w:val="en-US"/>
              </w:rPr>
              <w:t> </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lang w:val="en-US"/>
              </w:rPr>
              <w:t>Employee training</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lang w:val="en-US"/>
              </w:rPr>
              <w:t>CCTV</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lang w:val="en-US"/>
              </w:rPr>
              <w:t>Incident response team</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eastAsia="Times New Roman" w:cs="Times New Roman" w:asciiTheme="majorHAnsi" w:hAnsiTheme="majorHAnsi"/>
                <w:color w:val="231F20"/>
                <w:lang w:val="en-GB"/>
              </w:rPr>
            </w:pPr>
            <w:r>
              <w:rPr>
                <w:rFonts w:eastAsia="Times New Roman" w:cs="Times New Roman" w:ascii="Calibri" w:hAnsi="Calibri"/>
                <w:color w:val="231F20"/>
                <w:lang w:val="en-GB"/>
              </w:rPr>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ascii="Calibri" w:hAnsi="Calibri" w:asciiTheme="majorHAnsi" w:hAnsiTheme="majorHAnsi"/>
                <w:lang w:val="en-US"/>
              </w:rPr>
              <w:t>Digital forensics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distributing keys to intended users</w:t>
            </w:r>
            <w:r>
              <w:rPr>
                <w:rFonts w:eastAsia="Times New Roman" w:cs="Times New Roman" w:ascii="Calibri" w:hAnsi="Calibri" w:asciiTheme="majorHAnsi" w:hAnsiTheme="majorHAnsi"/>
                <w:color w:val="231F20"/>
                <w:lang w:val="en-GB"/>
              </w:rPr>
              <w:t xml:space="preserve"> </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legal considerations, for example requirements for electronic signatures;  </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Audit logs: userIDs;  dates, times, and details of key events, e.g. log-on and log-off;</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password management system</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clear desk policy</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r>
        <w:trPr>
          <w:trHeight w:val="300" w:hRule="atLeast"/>
        </w:trPr>
        <w:tc>
          <w:tcPr>
            <w:tcW w:w="2440" w:type="dxa"/>
            <w:tcBorders>
              <w:left w:val="single" w:sz="4" w:space="0" w:color="00000A"/>
              <w:bottom w:val="single" w:sz="4" w:space="0" w:color="231F20"/>
              <w:right w:val="single" w:sz="4" w:space="0" w:color="00000A"/>
              <w:insideH w:val="single" w:sz="4" w:space="0" w:color="231F20"/>
              <w:insideV w:val="single" w:sz="4" w:space="0" w:color="00000A"/>
            </w:tcBorders>
            <w:shd w:color="auto" w:fill="auto" w:val="clear"/>
            <w:tcMar>
              <w:left w:w="103" w:type="dxa"/>
            </w:tcMar>
            <w:vAlign w:val="center"/>
          </w:tcPr>
          <w:p>
            <w:pPr>
              <w:pStyle w:val="Normal"/>
              <w:rPr/>
            </w:pPr>
            <w:r>
              <w:rPr>
                <w:rFonts w:cs="Times Roman" w:ascii="Calibri" w:hAnsi="Calibri" w:asciiTheme="majorHAnsi" w:hAnsiTheme="majorHAnsi"/>
                <w:color w:val="000000"/>
                <w:lang w:val="en-US"/>
              </w:rPr>
              <w:t>alarms</w:t>
            </w:r>
          </w:p>
        </w:tc>
        <w:tc>
          <w:tcPr>
            <w:tcW w:w="68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6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6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8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8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9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301"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02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5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0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5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640"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c>
          <w:tcPr>
            <w:tcW w:w="1294"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rPr/>
            </w:pPr>
            <w:r>
              <w:rPr>
                <w:rFonts w:eastAsia="Times New Roman" w:cs="Times New Roman" w:ascii="Calibri" w:hAnsi="Calibri"/>
                <w:color w:val="000000"/>
                <w:lang w:val="en-GB"/>
              </w:rPr>
              <w:t> </w:t>
            </w:r>
          </w:p>
        </w:tc>
      </w:tr>
    </w:tbl>
    <w:p>
      <w:pPr>
        <w:pStyle w:val="Normal"/>
        <w:jc w:val="left"/>
        <w:rPr>
          <w:lang w:val="en-GB"/>
        </w:rPr>
      </w:pPr>
      <w:r>
        <w:rPr>
          <w:lang w:val="en-GB"/>
        </w:rPr>
      </w:r>
    </w:p>
    <w:p>
      <w:pPr>
        <w:pStyle w:val="Normal"/>
        <w:jc w:val="left"/>
        <w:rPr>
          <w:lang w:val="en-GB"/>
        </w:rPr>
      </w:pPr>
      <w:r>
        <w:rPr>
          <w:lang w:val="en-GB"/>
        </w:rPr>
      </w:r>
    </w:p>
    <w:sectPr>
      <w:type w:val="nextPage"/>
      <w:pgSz w:orient="landscape" w:w="16838" w:h="11906"/>
      <w:pgMar w:left="720" w:right="720" w:header="0" w:top="720" w:footer="0" w:bottom="14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C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57"/>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ru-RU" w:eastAsia="ru-RU"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uk-UA"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912581"/>
    <w:rPr>
      <w:rFonts w:ascii="Lucida Grande CY" w:hAnsi="Lucida Grande CY"/>
      <w:sz w:val="18"/>
      <w:szCs w:val="18"/>
      <w:lang w:val="uk-UA"/>
    </w:rPr>
  </w:style>
  <w:style w:type="character" w:styleId="Style15" w:customStyle="1">
    <w:name w:val="Верхний колонтитул Знак"/>
    <w:basedOn w:val="DefaultParagraphFont"/>
    <w:link w:val="a7"/>
    <w:uiPriority w:val="99"/>
    <w:qFormat/>
    <w:rsid w:val="00124db5"/>
    <w:rPr>
      <w:lang w:val="uk-UA"/>
    </w:rPr>
  </w:style>
  <w:style w:type="character" w:styleId="Style16" w:customStyle="1">
    <w:name w:val="Нижний колонтитул Знак"/>
    <w:basedOn w:val="DefaultParagraphFont"/>
    <w:link w:val="a9"/>
    <w:uiPriority w:val="99"/>
    <w:qFormat/>
    <w:rsid w:val="00124db5"/>
    <w:rPr>
      <w:lang w:val="uk-U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35c88"/>
    <w:pPr>
      <w:spacing w:before="0" w:after="0"/>
      <w:ind w:left="720" w:hanging="0"/>
      <w:contextualSpacing/>
    </w:pPr>
    <w:rPr/>
  </w:style>
  <w:style w:type="paragraph" w:styleId="BalloonText">
    <w:name w:val="Balloon Text"/>
    <w:basedOn w:val="Normal"/>
    <w:link w:val="a5"/>
    <w:uiPriority w:val="99"/>
    <w:semiHidden/>
    <w:unhideWhenUsed/>
    <w:qFormat/>
    <w:rsid w:val="00912581"/>
    <w:pPr/>
    <w:rPr>
      <w:rFonts w:ascii="Lucida Grande CY" w:hAnsi="Lucida Grande CY"/>
      <w:sz w:val="18"/>
      <w:szCs w:val="18"/>
    </w:rPr>
  </w:style>
  <w:style w:type="paragraph" w:styleId="Header">
    <w:name w:val="Header"/>
    <w:basedOn w:val="Normal"/>
    <w:link w:val="a8"/>
    <w:uiPriority w:val="99"/>
    <w:unhideWhenUsed/>
    <w:rsid w:val="00124db5"/>
    <w:pPr>
      <w:tabs>
        <w:tab w:val="center" w:pos="4677" w:leader="none"/>
        <w:tab w:val="right" w:pos="9355" w:leader="none"/>
      </w:tabs>
    </w:pPr>
    <w:rPr/>
  </w:style>
  <w:style w:type="paragraph" w:styleId="Footer">
    <w:name w:val="Footer"/>
    <w:basedOn w:val="Normal"/>
    <w:link w:val="aa"/>
    <w:uiPriority w:val="99"/>
    <w:unhideWhenUsed/>
    <w:rsid w:val="00124db5"/>
    <w:pPr>
      <w:tabs>
        <w:tab w:val="center" w:pos="4677" w:leader="none"/>
        <w:tab w:val="right" w:pos="9355"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91258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image" Target="media/image2.png"/><Relationship Id="rId7" Type="http://schemas.openxmlformats.org/officeDocument/2006/relationships/customXml" Target="../customXml/item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4F9D508BEF5438A94C4204A850736" ma:contentTypeVersion="5" ma:contentTypeDescription="Create a new document." ma:contentTypeScope="" ma:versionID="546e0324e4b06a2d73bd69f2d8fa5087">
  <xsd:schema xmlns:xsd="http://www.w3.org/2001/XMLSchema" xmlns:xs="http://www.w3.org/2001/XMLSchema" xmlns:p="http://schemas.microsoft.com/office/2006/metadata/properties" xmlns:ns2="1207ad9c-02be-4aa1-bc4d-6f712cf6f5bb" targetNamespace="http://schemas.microsoft.com/office/2006/metadata/properties" ma:root="true" ma:fieldsID="b5887839f3120d1c969edc7d0816eaa6" ns2:_="">
    <xsd:import namespace="1207ad9c-02be-4aa1-bc4d-6f712cf6f5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7ad9c-02be-4aa1-bc4d-6f712cf6f5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207ad9c-02be-4aa1-bc4d-6f712cf6f5bb" xsi:nil="true"/>
  </documentManagement>
</p:properties>
</file>

<file path=customXml/itemProps1.xml><?xml version="1.0" encoding="utf-8"?>
<ds:datastoreItem xmlns:ds="http://schemas.openxmlformats.org/officeDocument/2006/customXml" ds:itemID="{59459039-5930-42A4-8901-704B34AC54AF}"/>
</file>

<file path=customXml/itemProps2.xml><?xml version="1.0" encoding="utf-8"?>
<ds:datastoreItem xmlns:ds="http://schemas.openxmlformats.org/officeDocument/2006/customXml" ds:itemID="{13797325-78A1-44CE-A9B0-81867171A6B4}"/>
</file>

<file path=customXml/itemProps3.xml><?xml version="1.0" encoding="utf-8"?>
<ds:datastoreItem xmlns:ds="http://schemas.openxmlformats.org/officeDocument/2006/customXml" ds:itemID="{CA9B7B96-C988-4A9B-BC8E-74D16736419C}"/>
</file>

<file path=docProps/app.xml><?xml version="1.0" encoding="utf-8"?>
<Properties xmlns="http://schemas.openxmlformats.org/officeDocument/2006/extended-properties" xmlns:vt="http://schemas.openxmlformats.org/officeDocument/2006/docPropsVTypes">
  <Template>Normal.dotm</Template>
  <TotalTime>72</TotalTime>
  <Application>LibreOffice/5.3.1.2$MacOSX_X86_64 LibreOffice_project/e80a0e0fd1875e1696614d24c32df0f95f03deb2</Application>
  <Pages>10</Pages>
  <Words>2164</Words>
  <Characters>12691</Characters>
  <CharactersWithSpaces>15390</CharactersWithSpaces>
  <Paragraphs>976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dc:description/>
  <cp:lastModifiedBy/>
  <cp:revision>10</cp:revision>
  <dcterms:created xsi:type="dcterms:W3CDTF">2020-02-12T19:15:00Z</dcterms:created>
  <dcterms:modified xsi:type="dcterms:W3CDTF">2020-10-28T07:57:14Z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0x0101001214F9D508BEF5438A94C4204A850736</vt:lpwstr>
  </property>
</Properties>
</file>