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40"/>
          <w:szCs w:val="40"/>
        </w:rPr>
        <w:t xml:space="preserve">Review Report: Metric and Threshold Selection</w:t>
      </w:r>
    </w:p>
    <w:p>
      <w:pPr>
        <w:spacing w:after="100"/>
        <w:jc w:val="center"/>
      </w:pPr>
      <w:r>
        <w:rPr>
          <w:sz w:val="26"/>
          <w:szCs w:val="26"/>
        </w:rPr>
        <w:t xml:space="preserve">Justification for the Business Loan Approval Automation System</w:t>
      </w:r>
    </w:p>
    <w:p>
      <w:pPr>
        <w:spacing w:after="100"/>
        <w:jc w:val="center"/>
      </w:pPr>
      <w:r>
        <w:rPr>
          <w:i/>
          <w:iCs/>
          <w:sz w:val="22"/>
          <w:szCs w:val="22"/>
        </w:rPr>
        <w:t xml:space="preserve">(Central Bank Project – SBA Historical Borrower Dataset)</w:t>
      </w:r>
    </w:p>
    <w:p>
      <w:pPr>
        <w:spacing w:after="60" w:before="500"/>
        <w:jc w:val="center"/>
      </w:pPr>
      <w:r>
        <w:rPr>
          <w:b/>
          <w:bCs/>
          <w:sz w:val="24"/>
          <w:szCs w:val="24"/>
        </w:rPr>
        <w:t xml:space="preserve">Submitted by: Priyanka Giri</w:t>
      </w:r>
    </w:p>
    <w:p>
      <w:pPr>
        <w:pStyle w:val="Heading1"/>
        <w:spacing w:after="150" w:before="300"/>
      </w:pPr>
      <w:r>
        <w:t xml:space="preserve">1. Purpose of This Report</w:t>
      </w:r>
    </w:p>
    <w:p>
      <w:pPr>
        <w:spacing w:after="150"/>
      </w:pPr>
      <w:r>
        <w:t xml:space="preserve">The previous phase of this project explored five candidate metrics from the historical borrower dataset (sba_loans_raw) and selected the top three — Loan Term, Low Documentation Flag, and Revolving Line of Credit — as the basis for an automated loan approval rule. This report explains the reasoning behind that selection: how it was grounded in general industry lending practice, why the chosen metrics and thresholds make sense both statistically and from a credit-risk perspective, and why the remaining metrics were set aside.</w:t>
      </w:r>
    </w:p>
    <w:p>
      <w:pPr>
        <w:pStyle w:val="Heading1"/>
        <w:spacing w:after="150" w:before="300"/>
      </w:pPr>
      <w:r>
        <w:t xml:space="preserve">2. General Industry Context: How Banks Evaluate Loan Applications</w:t>
      </w:r>
    </w:p>
    <w:p>
      <w:pPr>
        <w:spacing w:after="150"/>
      </w:pPr>
      <w:r>
        <w:t xml:space="preserve">Before finalizing metrics from the dataset, general research was done into how banks and SBA lenders typically assess creditworthiness. Most institutions rely on a framework widely known as the "Five C's of Credit": Character, Capacity, Capital, Collateral, and Conditions.</w:t>
      </w:r>
    </w:p>
    <w:p>
      <w:pPr>
        <w:pStyle w:val="ListParagraph"/>
        <w:numPr>
          <w:ilvl w:val="0"/>
          <w:numId w:val="1"/>
        </w:numPr>
        <w:spacing w:after="80"/>
      </w:pPr>
      <w:r>
        <w:rPr>
          <w:b w:val="false"/>
          <w:bCs w:val="false"/>
        </w:rPr>
        <w:t xml:space="preserve">Character — the borrower's credit history and track record of repaying debts responsibly.</w:t>
      </w:r>
    </w:p>
    <w:p>
      <w:pPr>
        <w:pStyle w:val="ListParagraph"/>
        <w:numPr>
          <w:ilvl w:val="0"/>
          <w:numId w:val="1"/>
        </w:numPr>
        <w:spacing w:after="80"/>
      </w:pPr>
      <w:r>
        <w:t xml:space="preserve">Capacity — the business's cash flow and ability to service debt, often measured using a Debt Service Coverage Ratio (DSCR); most lenders look for a DSCR of at least 1.25, meaning cash flow covers debt payments by 125%.</w:t>
      </w:r>
    </w:p>
    <w:p>
      <w:pPr>
        <w:pStyle w:val="ListParagraph"/>
        <w:numPr>
          <w:ilvl w:val="0"/>
          <w:numId w:val="1"/>
        </w:numPr>
        <w:spacing w:after="80"/>
      </w:pPr>
      <w:r>
        <w:t xml:space="preserve">Capital — how much of their own money the owner has invested in the business.</w:t>
      </w:r>
    </w:p>
    <w:p>
      <w:pPr>
        <w:pStyle w:val="ListParagraph"/>
        <w:numPr>
          <w:ilvl w:val="0"/>
          <w:numId w:val="1"/>
        </w:numPr>
        <w:spacing w:after="80"/>
      </w:pPr>
      <w:r>
        <w:t xml:space="preserve">Collateral — assets pledged to secure the loan in case of default.</w:t>
      </w:r>
    </w:p>
    <w:p>
      <w:pPr>
        <w:pStyle w:val="ListParagraph"/>
        <w:numPr>
          <w:ilvl w:val="0"/>
          <w:numId w:val="1"/>
        </w:numPr>
        <w:spacing w:after="80"/>
      </w:pPr>
      <w:r>
        <w:t xml:space="preserve">Conditions — external factors such as loan purpose, industry trends, and economic environment, as well as the specific terms of the loan itself (amount, interest rate, duration).</w:t>
      </w:r>
    </w:p>
    <w:p>
      <w:pPr>
        <w:spacing w:after="150"/>
      </w:pPr>
      <w:r>
        <w:t xml:space="preserve">SBA-specific research also showed that loan term length, documentation level, and credit-line usage are all practical signals lenders and underwriters pay attention to when structuring and approving loans, even outside of the formal Five C's framework — for example, longer-term SBA loans are typically tied to more heavily underwritten, asset-backed purposes (like real estate), while shorter-term loans are often used for working capital and carry higher scrutiny of cash flow.</w:t>
      </w:r>
    </w:p>
    <w:p>
      <w:pPr>
        <w:spacing w:after="150"/>
      </w:pPr>
      <w:r>
        <w:rPr>
          <w:i/>
          <w:iCs/>
        </w:rPr>
        <w:t xml:space="preserve">This research shaped how the available dataset columns were interpreted: the dataset does not contain a direct credit score, DSCR, or collateral value, so the three selected metrics were chosen as practical proxies that reflect these same underlying ideas of Capacity and Conditions using the fields that are actually available.</w:t>
      </w:r>
    </w:p>
    <w:p>
      <w:pPr>
        <w:pStyle w:val="Heading1"/>
        <w:spacing w:after="150" w:before="300"/>
      </w:pPr>
      <w:r>
        <w:t xml:space="preserve">3. Working Within the Dataset's Limitations</w:t>
      </w:r>
    </w:p>
    <w:p>
      <w:pPr>
        <w:spacing w:after="150"/>
      </w:pPr>
      <w:r>
        <w:t xml:space="preserve">The SBA historical dataset does not include a personal or business credit score, a debt-to-income ratio, or collateral information — all of which are central to the traditional Five C's framework. Because of this, the metric selection process combined two approaches: (1) general research into what banks look for, to narrow down which available columns could reasonably act as risk proxies, and (2) direct statistical exploration of the dataset itself, comparing each candidate metric against the historical outcome field (mis_status: Paid In Full vs Charged Off) to confirm which proxies actually showed a meaningful relationship with default in practice.</w:t>
      </w:r>
    </w:p>
    <w:p>
      <w:pPr>
        <w:pStyle w:val="Heading1"/>
        <w:spacing w:after="150" w:before="300"/>
      </w:pPr>
      <w:r>
        <w:t xml:space="preserve">4. Methodology Recap</w:t>
      </w:r>
    </w:p>
    <w:p>
      <w:pPr>
        <w:spacing w:after="150"/>
      </w:pPr>
      <w:r>
        <w:t xml:space="preserve">Five candidate metrics were tested by grouping the ~899,000 loan records by metric value and comparing the charge-off (default) rate between groups. A metric was considered a strong candidate if it produced a large, consistent gap in default rate between groups, across a reasonably large sample size in each group.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shd w:fill="2E5395" w:color="auto" w:val="clear"/>
          </w:tcPr>
          <w:p>
            <w:r>
              <w:rPr>
                <w:b/>
                <w:bCs/>
                <w:color w:val="FFFFFF"/>
              </w:rPr>
              <w:t xml:space="preserve">Metric</w:t>
            </w:r>
          </w:p>
        </w:tc>
        <w:tc>
          <w:tcPr>
            <w:tcW w:type="pct" w:w="42%"/>
            <w:shd w:fill="2E5395" w:color="auto" w:val="clear"/>
          </w:tcPr>
          <w:p>
            <w:r>
              <w:rPr>
                <w:b/>
                <w:bCs/>
                <w:color w:val="FFFFFF"/>
              </w:rPr>
              <w:t xml:space="preserve">Default Rate Comparison</w:t>
            </w:r>
          </w:p>
        </w:tc>
        <w:tc>
          <w:tcPr>
            <w:tcW w:type="pct" w:w="30%"/>
            <w:shd w:fill="2E5395" w:color="auto" w:val="clear"/>
          </w:tcPr>
          <w:p>
            <w:r>
              <w:rPr>
                <w:b/>
                <w:bCs/>
                <w:color w:val="FFFFFF"/>
              </w:rPr>
              <w:t xml:space="preserve">Verdict</w:t>
            </w:r>
          </w:p>
        </w:tc>
      </w:tr>
      <w:tr>
        <w:tc>
          <w:tcPr>
            <w:tcW w:type="pct" w:w="28%"/>
          </w:tcPr>
          <w:p>
            <w:r>
              <w:rPr>
                <w:b w:val="false"/>
                <w:bCs w:val="false"/>
              </w:rPr>
              <w:t xml:space="preserve">Loan Term</w:t>
            </w:r>
          </w:p>
        </w:tc>
        <w:tc>
          <w:tcPr>
            <w:tcW w:type="pct" w:w="42%"/>
          </w:tcPr>
          <w:p>
            <w:r>
              <w:rPr>
                <w:b w:val="false"/>
                <w:bCs w:val="false"/>
              </w:rPr>
              <w:t xml:space="preserve">56.5% (short) vs 9.6% (medium) vs 4.4% (long)</w:t>
            </w:r>
          </w:p>
        </w:tc>
        <w:tc>
          <w:tcPr>
            <w:tcW w:type="pct" w:w="30%"/>
          </w:tcPr>
          <w:p>
            <w:r>
              <w:rPr>
                <w:b w:val="false"/>
                <w:bCs w:val="false"/>
              </w:rPr>
              <w:t xml:space="preserve">Selected — very strong</w:t>
            </w:r>
          </w:p>
        </w:tc>
      </w:tr>
      <w:tr>
        <w:tc>
          <w:tcPr>
            <w:tcW w:type="pct" w:w="28%"/>
          </w:tcPr>
          <w:p>
            <w:r>
              <w:rPr>
                <w:b w:val="false"/>
                <w:bCs w:val="false"/>
              </w:rPr>
              <w:t xml:space="preserve">Low Documentation Flag</w:t>
            </w:r>
          </w:p>
        </w:tc>
        <w:tc>
          <w:tcPr>
            <w:tcW w:type="pct" w:w="42%"/>
          </w:tcPr>
          <w:p>
            <w:r>
              <w:rPr>
                <w:b w:val="false"/>
                <w:bCs w:val="false"/>
              </w:rPr>
              <w:t xml:space="preserve">18.7% (normal docs) vs 9.0% (low docs)</w:t>
            </w:r>
          </w:p>
        </w:tc>
        <w:tc>
          <w:tcPr>
            <w:tcW w:type="pct" w:w="30%"/>
          </w:tcPr>
          <w:p>
            <w:r>
              <w:rPr>
                <w:b w:val="false"/>
                <w:bCs w:val="false"/>
              </w:rPr>
              <w:t xml:space="preserve">Selected — strong</w:t>
            </w:r>
          </w:p>
        </w:tc>
      </w:tr>
      <w:tr>
        <w:tc>
          <w:tcPr>
            <w:tcW w:type="pct" w:w="28%"/>
          </w:tcPr>
          <w:p>
            <w:r>
              <w:rPr>
                <w:b w:val="false"/>
                <w:bCs w:val="false"/>
              </w:rPr>
              <w:t xml:space="preserve">Revolving Line of Credit</w:t>
            </w:r>
          </w:p>
        </w:tc>
        <w:tc>
          <w:tcPr>
            <w:tcW w:type="pct" w:w="42%"/>
          </w:tcPr>
          <w:p>
            <w:r>
              <w:rPr>
                <w:b w:val="false"/>
                <w:bCs w:val="false"/>
              </w:rPr>
              <w:t xml:space="preserve">14.65% (no line) vs 25.4% (has line)</w:t>
            </w:r>
          </w:p>
        </w:tc>
        <w:tc>
          <w:tcPr>
            <w:tcW w:type="pct" w:w="30%"/>
          </w:tcPr>
          <w:p>
            <w:r>
              <w:rPr>
                <w:b w:val="false"/>
                <w:bCs w:val="false"/>
              </w:rPr>
              <w:t xml:space="preserve">Selected — moderate</w:t>
            </w:r>
          </w:p>
        </w:tc>
      </w:tr>
      <w:tr>
        <w:tc>
          <w:tcPr>
            <w:tcW w:type="pct" w:w="28%"/>
          </w:tcPr>
          <w:p>
            <w:r>
              <w:rPr>
                <w:b w:val="false"/>
                <w:bCs w:val="false"/>
              </w:rPr>
              <w:t xml:space="preserve">New vs Existing Business</w:t>
            </w:r>
          </w:p>
        </w:tc>
        <w:tc>
          <w:tcPr>
            <w:tcW w:type="pct" w:w="42%"/>
          </w:tcPr>
          <w:p>
            <w:r>
              <w:rPr>
                <w:b w:val="false"/>
                <w:bCs w:val="false"/>
              </w:rPr>
              <w:t xml:space="preserve">17.1% vs 18.75%</w:t>
            </w:r>
          </w:p>
        </w:tc>
        <w:tc>
          <w:tcPr>
            <w:tcW w:type="pct" w:w="30%"/>
          </w:tcPr>
          <w:p>
            <w:r>
              <w:rPr>
                <w:b w:val="false"/>
                <w:bCs w:val="false"/>
              </w:rPr>
              <w:t xml:space="preserve">Rejected — too weak to act on alone</w:t>
            </w:r>
          </w:p>
        </w:tc>
      </w:tr>
      <w:tr>
        <w:tc>
          <w:tcPr>
            <w:tcW w:type="pct" w:w="28%"/>
          </w:tcPr>
          <w:p>
            <w:r>
              <w:rPr>
                <w:b w:val="false"/>
                <w:bCs w:val="false"/>
              </w:rPr>
              <w:t xml:space="preserve">SBA Guarantee Ratio</w:t>
            </w:r>
          </w:p>
        </w:tc>
        <w:tc>
          <w:tcPr>
            <w:tcW w:type="pct" w:w="42%"/>
          </w:tcPr>
          <w:p>
            <w:r>
              <w:rPr>
                <w:b w:val="false"/>
                <w:bCs w:val="false"/>
              </w:rPr>
              <w:t xml:space="preserve">No meaningful variation across groups</w:t>
            </w:r>
          </w:p>
        </w:tc>
        <w:tc>
          <w:tcPr>
            <w:tcW w:type="pct" w:w="30%"/>
          </w:tcPr>
          <w:p>
            <w:r>
              <w:rPr>
                <w:b w:val="false"/>
                <w:bCs w:val="false"/>
              </w:rPr>
              <w:t xml:space="preserve">Rejected — not discriminating</w:t>
            </w:r>
          </w:p>
        </w:tc>
      </w:tr>
    </w:tbl>
    <w:p>
      <w:pPr>
        <w:pStyle w:val="Heading1"/>
        <w:spacing w:after="150" w:before="300"/>
      </w:pPr>
      <w:r>
        <w:t xml:space="preserve">5. Why Each Selected Metric Was Chosen</w:t>
      </w:r>
    </w:p>
    <w:p>
      <w:pPr>
        <w:pStyle w:val="Heading2"/>
        <w:spacing w:after="150" w:before="300"/>
      </w:pPr>
      <w:r>
        <w:t xml:space="preserve">5.1 Loan Term</w:t>
      </w:r>
    </w:p>
    <w:p>
      <w:pPr>
        <w:spacing w:after="150"/>
      </w:pPr>
      <w:r>
        <w:t xml:space="preserve">Loan Term showed the largest difference in default rate of any metric tested — a roughly 13x gap between short-term (under 5 years) and long-term (over 10 years) loans. This aligns with general lending practice: longer-term SBA loans are typically secured against durable assets like real estate or equipment and go through more extensive underwriting, while shorter-term loans are more often used for working capital, which is more sensitive to short-term cash-flow problems. This metric most closely reflects the "Conditions" and "Capacity" components of the Five C's — the structure of the loan itself and the business's ability to meet obligations within that time frame.</w:t>
      </w:r>
    </w:p>
    <w:p>
      <w:pPr>
        <w:spacing w:after="150"/>
      </w:pPr>
      <w:r>
        <w:rPr>
          <w:i/>
          <w:iCs/>
        </w:rPr>
        <w:t xml:space="preserve">Threshold chosen: term &gt;= 60 months (5 years or more) is treated as lower risk; term &lt; 60 months is treated as higher risk. The 5-year mark was chosen because it is a common, recognizable cutoff in SBA loan structuring (many SBA 7(a) working-capital loans are capped around this length, while longer terms are reserved for real-estate or equipment-backed loans), and it also aligned with where the default rate dropped sharply in the data (from 56.5% to 9.6%).</w:t>
      </w:r>
    </w:p>
    <w:p>
      <w:pPr>
        <w:pStyle w:val="Heading2"/>
        <w:spacing w:after="150" w:before="300"/>
      </w:pPr>
      <w:r>
        <w:t xml:space="preserve">5.2 Low Documentation Flag (LowDoc)</w:t>
      </w:r>
    </w:p>
    <w:p>
      <w:pPr>
        <w:spacing w:after="150"/>
      </w:pPr>
      <w:r>
        <w:t xml:space="preserve">This metric produced a counter-intuitive but statistically strong result: loans marked as "low documentation" actually defaulted about half as often as fully documented loans. Researching the SBA LowDoc program clarified why — it was historically reserved for smaller loans (traditionally under $150,000) that were already considered lower-risk and pre-qualified, which is why less paperwork was required. In Five C's terms, this acts as an indirect signal of lender confidence in the borrower's Character and Capacity at the time of approval — the bank had already judged the loan safe enough to fast-track.</w:t>
      </w:r>
    </w:p>
    <w:p>
      <w:pPr>
        <w:spacing w:after="150"/>
      </w:pPr>
      <w:r>
        <w:rPr>
          <w:i/>
          <w:iCs/>
        </w:rPr>
        <w:t xml:space="preserve">Threshold chosen: lowdoc = 'Y' is treated as lower risk; lowdoc = 'N' is treated as higher risk. No numeric cutoff is needed since this is a binary flag already present in the data.</w:t>
      </w:r>
    </w:p>
    <w:p>
      <w:pPr>
        <w:pStyle w:val="Heading2"/>
        <w:spacing w:after="150" w:before="300"/>
      </w:pPr>
      <w:r>
        <w:t xml:space="preserve">5.3 Revolving Line of Credit (RevLineCr)</w:t>
      </w:r>
    </w:p>
    <w:p>
      <w:pPr>
        <w:spacing w:after="150"/>
      </w:pPr>
      <w:r>
        <w:t xml:space="preserve">Loans associated with a revolving line of credit defaulted about 1.7x more often than those without one. A revolving credit line is often used by businesses to manage ongoing cash-flow gaps, so its presence can signal reliance on short-term borrowing to stay solvent — a pattern consistent with weaker "Capacity" and "Capital" positions under the traditional framework.</w:t>
      </w:r>
    </w:p>
    <w:p>
      <w:pPr>
        <w:spacing w:after="150"/>
      </w:pPr>
      <w:r>
        <w:rPr>
          <w:i/>
          <w:iCs/>
        </w:rPr>
        <w:t xml:space="preserve">Threshold chosen: revlinecr = 'N' is treated as lower risk; revlinecr = 'Y' is treated as higher risk.</w:t>
      </w:r>
    </w:p>
    <w:p>
      <w:pPr>
        <w:pStyle w:val="Heading1"/>
        <w:spacing w:after="150" w:before="300"/>
      </w:pPr>
      <w:r>
        <w:t xml:space="preserve">6. Why Other Metrics Were Not Selected</w:t>
      </w:r>
    </w:p>
    <w:p>
      <w:pPr>
        <w:spacing w:after="150"/>
      </w:pPr>
      <w:r>
        <w:rPr>
          <w:b/>
          <w:bCs/>
        </w:rPr>
        <w:t xml:space="preserve">New vs Existing Business (newexist):</w:t>
      </w:r>
    </w:p>
    <w:p>
      <w:pPr>
        <w:spacing w:after="150"/>
      </w:pPr>
      <w:r>
        <w:t xml:space="preserve">General research suggests new businesses should be meaningfully riskier than established ones, since they lack an operating track record (related to "Character" and "Capacity"). However, in this dataset the gap was small (17.1% vs 18.75%), likely because SBA new-business loans already go through additional vetting (e.g., higher down payments, more documentation) before approval, which may offset the raw new-vs-existing difference seen in unfiltered lending data. Given the weak gap, it was kept only as a minor supporting signal rather than one of the top three.</w:t>
      </w:r>
    </w:p>
    <w:p>
      <w:pPr>
        <w:spacing w:after="150"/>
      </w:pPr>
      <w:r>
        <w:rPr>
          <w:b/>
          <w:bCs/>
        </w:rPr>
        <w:t xml:space="preserve">SBA Guarantee Ratio:</w:t>
      </w:r>
    </w:p>
    <w:p>
      <w:pPr>
        <w:spacing w:after="150"/>
      </w:pPr>
      <w:r>
        <w:t xml:space="preserve">This metric reflects what share of a loan SBA guarantees, which relates to Collateral/risk-sharing with the lender. In theory it should matter, but in this dataset over 99% of loans fell into a single "High Guarantee" bucket, leaving no real variation to compare. With no spread in the data, this metric cannot usefully separate risky from safe loans here, so it was excluded despite being conceptually relevant.</w:t>
      </w:r>
    </w:p>
    <w:p>
      <w:pPr>
        <w:pStyle w:val="Heading1"/>
        <w:spacing w:after="150" w:before="300"/>
      </w:pPr>
      <w:r>
        <w:t xml:space="preserve">7. Final Decision Rule</w:t>
      </w:r>
    </w:p>
    <w:p>
      <w:pPr>
        <w:spacing w:after="150"/>
      </w:pPr>
      <w:r>
        <w:rPr>
          <w:b/>
          <w:bCs/>
        </w:rPr>
        <w:t xml:space="preserve">Approve the loan (Low Risk) if at least 2 of the following 3 conditions are true:</w:t>
      </w:r>
    </w:p>
    <w:p>
      <w:pPr>
        <w:pStyle w:val="ListParagraph"/>
        <w:numPr>
          <w:ilvl w:val="0"/>
          <w:numId w:val="1"/>
        </w:numPr>
        <w:spacing w:after="80"/>
      </w:pPr>
      <w:r>
        <w:t xml:space="preserve">term &gt;= 60 (loan duration of 5 years or more)</w:t>
      </w:r>
    </w:p>
    <w:p>
      <w:pPr>
        <w:pStyle w:val="ListParagraph"/>
        <w:numPr>
          <w:ilvl w:val="0"/>
          <w:numId w:val="1"/>
        </w:numPr>
        <w:spacing w:after="80"/>
      </w:pPr>
      <w:r>
        <w:t xml:space="preserve">lowdoc = 'Y' (pre-qualified, low documentation loan)</w:t>
      </w:r>
    </w:p>
    <w:p>
      <w:pPr>
        <w:pStyle w:val="ListParagraph"/>
        <w:numPr>
          <w:ilvl w:val="0"/>
          <w:numId w:val="1"/>
        </w:numPr>
        <w:spacing w:after="80"/>
      </w:pPr>
      <w:r>
        <w:t xml:space="preserve">revlinecr = 'N' (no revolving line of credit)</w:t>
      </w:r>
    </w:p>
    <w:p>
      <w:pPr>
        <w:spacing w:after="150"/>
      </w:pPr>
      <w:r>
        <w:rPr>
          <w:b/>
          <w:bCs/>
        </w:rPr>
        <w:t xml:space="preserve">Otherwise, the loan is flagged for Manual Review or Rejection.</w:t>
      </w:r>
    </w:p>
    <w:p>
      <w:pPr>
        <w:pStyle w:val="Heading1"/>
        <w:spacing w:after="150" w:before="300"/>
      </w:pPr>
      <w:r>
        <w:t xml:space="preserve">8. Limitations and Notes</w:t>
      </w:r>
    </w:p>
    <w:p>
      <w:pPr>
        <w:pStyle w:val="ListParagraph"/>
        <w:numPr>
          <w:ilvl w:val="0"/>
          <w:numId w:val="1"/>
        </w:numPr>
        <w:spacing w:after="80"/>
      </w:pPr>
      <w:r>
        <w:t xml:space="preserve">This dataset does not include a credit score, DSCR, or collateral value, so the selected metrics are proxies rather than direct equivalents of the traditional Five C's — a production system would ideally combine both.</w:t>
      </w:r>
    </w:p>
    <w:p>
      <w:pPr>
        <w:pStyle w:val="ListParagraph"/>
        <w:numPr>
          <w:ilvl w:val="0"/>
          <w:numId w:val="1"/>
        </w:numPr>
        <w:spacing w:after="80"/>
      </w:pPr>
      <w:r>
        <w:t xml:space="preserve">Default rate differences shown here are historical associations, not proof of causation; for example, LowDoc loans defaulting less is explained by pre-qualification bias in how that program was structured, not because less paperwork itself reduces risk.</w:t>
      </w:r>
    </w:p>
    <w:p>
      <w:pPr>
        <w:pStyle w:val="ListParagraph"/>
        <w:numPr>
          <w:ilvl w:val="0"/>
          <w:numId w:val="1"/>
        </w:numPr>
        <w:spacing w:after="80"/>
      </w:pPr>
      <w:r>
        <w:t xml:space="preserve">Thresholds were chosen using a combination of where the data showed a sharp change in default rate and recognizable real-world cutoffs (e.g., the 5-year SBA loan-structuring convention) — as the assignment notes, there is no single "correct" threshold, and these values could be tuned further with more rigorous statistical methods (e.g., logistic regression, ROC curves) in a later phase.</w:t>
      </w:r>
    </w:p>
    <w:p>
      <w:pPr>
        <w:pStyle w:val="Heading1"/>
        <w:spacing w:after="150" w:before="300"/>
      </w:pPr>
      <w:r>
        <w:t xml:space="preserve">9. References</w:t>
      </w:r>
    </w:p>
    <w:p>
      <w:pPr>
        <w:pStyle w:val="ListParagraph"/>
        <w:numPr>
          <w:ilvl w:val="0"/>
          <w:numId w:val="1"/>
        </w:numPr>
        <w:spacing w:after="80"/>
      </w:pPr>
      <w:r>
        <w:t xml:space="preserve">CDC Small Business Finance – "5 C's of Credit: What Lenders Are Looking For" – cdcloans.com/blog/5-cs-of-credit/</w:t>
      </w:r>
    </w:p>
    <w:p>
      <w:pPr>
        <w:pStyle w:val="ListParagraph"/>
        <w:numPr>
          <w:ilvl w:val="0"/>
          <w:numId w:val="1"/>
        </w:numPr>
        <w:spacing w:after="80"/>
      </w:pPr>
      <w:r>
        <w:t xml:space="preserve">TD Bank – "How Banks Review Business Loan Applications" – td.com/us/en/small-business/how-banks-review-business-loan-applications-5-cs-credit</w:t>
      </w:r>
    </w:p>
    <w:p>
      <w:pPr>
        <w:pStyle w:val="ListParagraph"/>
        <w:numPr>
          <w:ilvl w:val="0"/>
          <w:numId w:val="1"/>
        </w:numPr>
        <w:spacing w:after="80"/>
      </w:pPr>
      <w:r>
        <w:t xml:space="preserve">First Citizens Bank – "5 Cs of Credit: What Banks Look for When Lending" – firstcitizens.com/personal/insights/credit/5-cs-of-credit</w:t>
      </w:r>
    </w:p>
    <w:p>
      <w:pPr>
        <w:pStyle w:val="ListParagraph"/>
        <w:numPr>
          <w:ilvl w:val="0"/>
          <w:numId w:val="1"/>
        </w:numPr>
        <w:spacing w:after="80"/>
      </w:pPr>
      <w:r>
        <w:t xml:space="preserve">Guidant Financial – "How to Qualify for an SBA Loan – The 5 C's of SBA Loan Eligibility" – guidantfinancial.com/blog/5-cs-of-sba-loan-requirements</w:t>
      </w:r>
    </w:p>
    <w:p>
      <w:pPr>
        <w:pStyle w:val="ListParagraph"/>
        <w:numPr>
          <w:ilvl w:val="0"/>
          <w:numId w:val="1"/>
        </w:numPr>
        <w:spacing w:after="80"/>
      </w:pPr>
      <w:r>
        <w:t xml:space="preserve">MyFSB Online – "What Do Banks Look for When Approving Business Loans?" – myfsbonline.com/education/financial-wellness/business-loan-approval-requirements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2026-10-01T10:05:07.554Z</dcterms:created>
  <dcterms:modified xsi:type="dcterms:W3CDTF">2026-10-01T10:05:07.559Z</dcterms:modified>
</cp:coreProperties>
</file>

<file path=docProps/custom.xml><?xml version="1.0" encoding="utf-8"?>
<Properties xmlns="http://schemas.openxmlformats.org/officeDocument/2006/custom-properties" xmlns:vt="http://schemas.openxmlformats.org/officeDocument/2006/docPropsVTypes"/>
</file>