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Bdr>
          <w:bottom w:val="single" w:sz="10" w:space="4" w:color="4B5D3A"/>
        </w:pBdr>
        <w:jc w:val="center"/>
      </w:pPr>
    </w:p>
    <w:p>
      <w:pPr>
        <w:jc w:val="center"/>
      </w:pPr>
      <w:r>
        <w:rPr>
          <w:rFonts w:ascii="Georgia" w:hAnsi="Georgia"/>
          <w:b/>
          <w:color w:val="1F2A24"/>
          <w:sz w:val="56"/>
        </w:rPr>
        <w:t>01 Executive Brief</w:t>
      </w:r>
    </w:p>
    <w:p>
      <w:pPr>
        <w:jc w:val="center"/>
      </w:pPr>
      <w:r>
        <w:rPr>
          <w:rFonts w:ascii="Calibri" w:hAnsi="Calibri"/>
          <w:color w:val="4B5D3A"/>
          <w:sz w:val="26"/>
        </w:rPr>
        <w:t>Business Analysis Deliverable</w:t>
      </w:r>
    </w:p>
    <w:p>
      <w:pPr>
        <w:pBdr>
          <w:bottom w:val="single" w:sz="10" w:space="4" w:color="4B5D3A"/>
        </w:pBdr>
        <w:jc w:val="center"/>
      </w:pPr>
    </w:p>
    <w:p/>
    <w:p>
      <w:pPr>
        <w:jc w:val="center"/>
      </w:pPr>
      <w:r>
        <w:rPr>
          <w:rFonts w:ascii="Calibri" w:hAnsi="Calibri"/>
          <w:color w:val="5B584F"/>
          <w:sz w:val="21"/>
        </w:rPr>
        <w:t>Prepared: 12 September 2026</w:t>
      </w:r>
    </w:p>
    <w:p>
      <w:pPr>
        <w:jc w:val="center"/>
      </w:pPr>
      <w:r>
        <w:rPr>
          <w:rFonts w:ascii="Calibri" w:hAnsi="Calibri"/>
          <w:color w:val="5B584F"/>
          <w:sz w:val="21"/>
        </w:rPr>
        <w:t>Status: Final portfolio case study</w:t>
      </w:r>
    </w:p>
    <w:p>
      <w:pPr>
        <w:jc w:val="center"/>
      </w:pPr>
      <w:r>
        <w:rPr>
          <w:rFonts w:ascii="Calibri" w:hAnsi="Calibri"/>
          <w:color w:val="5B584F"/>
          <w:sz w:val="21"/>
        </w:rPr>
        <w:t>Classification: Business Confidential — internal use</w:t>
      </w:r>
    </w:p>
    <w:p>
      <w:r>
        <w:rPr>
          <w:rFonts w:ascii="Calibri" w:hAnsi="Calibri"/>
          <w:sz w:val="21"/>
        </w:rPr>
        <w:br w:type="page"/>
      </w:r>
    </w:p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Contents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Document control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1. Executive decision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2. What management should know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3. Concentration and offsets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4. Evidence register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5. Decision requested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6. Guardrails</w:t>
      </w:r>
    </w:p>
    <w:p>
      <w:r>
        <w:rPr>
          <w:rFonts w:ascii="Calibri" w:hAnsi="Calibri"/>
          <w:sz w:val="21"/>
        </w:rPr>
        <w:br w:type="page"/>
      </w:r>
    </w:p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Document control</w:t>
      </w:r>
    </w:p>
    <w:p>
      <w:r>
        <w:rPr>
          <w:rFonts w:ascii="Calibri" w:hAnsi="Calibri"/>
          <w:sz w:val="21"/>
        </w:rPr>
        <w:t>Document ID: EBR-001</w:t>
      </w:r>
    </w:p>
    <w:p>
      <w:r>
        <w:rPr>
          <w:rFonts w:ascii="Calibri" w:hAnsi="Calibri"/>
          <w:sz w:val="21"/>
        </w:rPr>
        <w:t>Version: 3.0</w:t>
      </w:r>
    </w:p>
    <w:p>
      <w:r>
        <w:rPr>
          <w:rFonts w:ascii="Calibri" w:hAnsi="Calibri"/>
          <w:sz w:val="21"/>
        </w:rPr>
        <w:t>Status: Final portfolio case study</w:t>
      </w:r>
    </w:p>
    <w:p>
      <w:r>
        <w:rPr>
          <w:rFonts w:ascii="Calibri" w:hAnsi="Calibri"/>
          <w:sz w:val="21"/>
        </w:rPr>
        <w:t>Purpose: Management decision support</w:t>
      </w:r>
    </w:p>
    <w:p>
      <w:r>
        <w:rPr>
          <w:rFonts w:ascii="Calibri" w:hAnsi="Calibri"/>
          <w:sz w:val="21"/>
        </w:rPr>
        <w:t>Business objective: Understand why revenue performance weakened in Q4, identify the regions, products and customer segments requiring management attention, and agree actions that can improve retention and delivery performance.</w:t>
      </w:r>
    </w:p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1. Executive decision</w:t>
      </w:r>
    </w:p>
    <w:p>
      <w:r>
        <w:rPr>
          <w:rFonts w:ascii="Calibri" w:hAnsi="Calibri"/>
          <w:sz w:val="21"/>
        </w:rPr>
        <w:t>The connected 2025 sales data shows total revenue declined 1.6% from Q3 to Q4. South is the management priority and declined 2.1% in the same comparison. South SLA achievement fell 9.7 percentage points and support tickets per order increased +32.8%. The evidence supports a focused investigation and service-recovery effort, but it does not establish that service deterioration caused cancellations.</w:t>
      </w:r>
    </w:p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2. What management should know</w:t>
      </w:r>
    </w:p>
    <w:p>
      <w:pPr>
        <w:pStyle w:val="ListBullet"/>
      </w:pPr>
      <w:r>
        <w:rPr>
          <w:rFonts w:ascii="Calibri" w:hAnsi="Calibri"/>
          <w:sz w:val="21"/>
        </w:rPr>
        <w:t>South is the priority business focus: revenue moved from ₹485,975 to ₹475,859 Q3→Q4.</w:t>
      </w:r>
    </w:p>
    <w:p>
      <w:pPr>
        <w:pStyle w:val="ListBullet"/>
      </w:pPr>
      <w:r>
        <w:rPr>
          <w:rFonts w:ascii="Calibri" w:hAnsi="Calibri"/>
          <w:sz w:val="21"/>
        </w:rPr>
        <w:t>Service performance weakened in the same period: SLA moved 81.6% → 71.9%.</w:t>
      </w:r>
    </w:p>
    <w:p>
      <w:pPr>
        <w:pStyle w:val="ListBullet"/>
      </w:pPr>
      <w:r>
        <w:rPr>
          <w:rFonts w:ascii="Calibri" w:hAnsi="Calibri"/>
          <w:sz w:val="21"/>
        </w:rPr>
        <w:t>Support pressure increased: tickets/order moved 0.075 → 0.099.</w:t>
      </w:r>
    </w:p>
    <w:p>
      <w:pPr>
        <w:pStyle w:val="ListBullet"/>
      </w:pPr>
      <w:r>
        <w:rPr>
          <w:rFonts w:ascii="Calibri" w:hAnsi="Calibri"/>
          <w:sz w:val="21"/>
        </w:rPr>
        <w:t>Cloud Suite and Analytics Pro declined in South; Enterprise and Partner growth partially offset pressure.</w:t>
      </w:r>
    </w:p>
    <w:p>
      <w:pPr>
        <w:pStyle w:val="ListBullet"/>
      </w:pPr>
      <w:r>
        <w:rPr>
          <w:rFonts w:ascii="Calibri" w:hAnsi="Calibri"/>
          <w:sz w:val="21"/>
        </w:rPr>
        <w:t>Only one cancellation is recorded, so customer-level retention conclusions remain unvalidated.</w:t>
      </w:r>
    </w:p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3. Concentration and offsets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195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Q3</w:t>
            </w:r>
          </w:p>
        </w:tc>
        <w:tc>
          <w:tcPr>
            <w:tcW w:type="dxa" w:w="195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Q4</w:t>
            </w:r>
          </w:p>
        </w:tc>
        <w:tc>
          <w:tcPr>
            <w:tcW w:type="dxa" w:w="195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Movement</w:t>
            </w:r>
          </w:p>
        </w:tc>
        <w:tc>
          <w:tcPr>
            <w:tcW w:type="dxa" w:w="195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Interpretation</w:t>
            </w:r>
          </w:p>
        </w:tc>
      </w:tr>
      <w:tr>
        <w:tc>
          <w:tcPr>
            <w:tcW w:type="dxa" w:w="1958"/>
          </w:tcPr>
          <w:p>
            <w:r>
              <w:rPr>
                <w:rFonts w:ascii="Calibri" w:hAnsi="Calibri"/>
              </w:rPr>
              <w:t>South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₹485,975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₹475,859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-2.1%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Priority from business context</w:t>
            </w:r>
          </w:p>
        </w:tc>
      </w:tr>
      <w:tr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North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Full-dataset regional result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See analysis pack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Largest percentage decline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Not selected as management focus</w:t>
            </w:r>
          </w:p>
        </w:tc>
      </w:tr>
      <w:tr>
        <w:tc>
          <w:tcPr>
            <w:tcW w:type="dxa" w:w="1958"/>
          </w:tcPr>
          <w:p>
            <w:r>
              <w:rPr>
                <w:rFonts w:ascii="Calibri" w:hAnsi="Calibri"/>
              </w:rPr>
              <w:t>East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Full-dataset regional result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See analysis pack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Positive movement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Offset</w:t>
            </w:r>
          </w:p>
        </w:tc>
      </w:tr>
      <w:tr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West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Full-dataset regional result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See analysis pack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Near-flat movement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Context</w:t>
            </w:r>
          </w:p>
        </w:tc>
      </w:tr>
    </w:tbl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4. Evidence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44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244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Evidence</w:t>
            </w:r>
          </w:p>
        </w:tc>
        <w:tc>
          <w:tcPr>
            <w:tcW w:type="dxa" w:w="244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Period / aggregation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</w:rPr>
              <w:t>E-001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Sales dataset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1,200 rows covering Jan–Dec 2025; fields include revenue, orders, customers, cancellations, SLA achievement and support tickets.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Full connected dataset</w:t>
            </w:r>
          </w:p>
        </w:tc>
      </w:tr>
      <w:tr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E-002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Overall revenue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Q3 revenue ₹1,471,427; Q4 revenue ₹1,447,831; movement -1.6%.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All regions, Q3→Q4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</w:rPr>
              <w:t>E-003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South revenue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Q3 revenue ₹485,975; Q4 revenue ₹475,859; movement -2.1%.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South, Q3→Q4</w:t>
            </w:r>
          </w:p>
        </w:tc>
      </w:tr>
      <w:tr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E-004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South SLA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SLA achievement 81.6% in Q3 to 71.9% in Q4, a -9.7 percentage-point movement.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South, Q3→Q4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</w:rPr>
              <w:t>E-005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South support pressure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Support tickets/order 0.075 to 0.099, a +32.8% movement.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South, Q3→Q4</w:t>
            </w:r>
          </w:p>
        </w:tc>
      </w:tr>
      <w:tr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E-006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South product mix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Cloud Suite -11.0%; Analytics Pro -10.5%; CRM Platform -4.3%; Security Plus +27.1%.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South, Q3→Q4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</w:rPr>
              <w:t>E-007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South segment mix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SMB -21.6%; Mid-Market -18.5%; Enterprise +38.0%.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South, Q3→Q4</w:t>
            </w:r>
          </w:p>
        </w:tc>
      </w:tr>
      <w:tr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E-008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South channel mix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Direct -11.7%; Online -5.7%; Partner +15.9%.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South, Q3→Q4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</w:rPr>
              <w:t>E-009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Cancellation evidence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Only 1 recorded cancellation exists in the connected dataset. This is insufficient for a customer-level causal analysis.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Full connected dataset</w:t>
            </w:r>
          </w:p>
        </w:tc>
      </w:tr>
      <w:tr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E-010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Business context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Management evidence identifies South as a priority area and raises delivery/SLA and cancellation concerns. Customer-level linkage is required before causal interpretation.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Business documents</w:t>
            </w:r>
          </w:p>
        </w:tc>
      </w:tr>
    </w:tbl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5. Decision requested</w:t>
      </w:r>
    </w:p>
    <w:p>
      <w:pPr>
        <w:pStyle w:val="ListBullet"/>
      </w:pPr>
      <w:r>
        <w:rPr>
          <w:rFonts w:ascii="Calibri" w:hAnsi="Calibri"/>
          <w:sz w:val="21"/>
        </w:rPr>
        <w:t>Approve a focused Operations review of South delivery and SLA breach detail.</w:t>
      </w:r>
    </w:p>
    <w:p>
      <w:pPr>
        <w:pStyle w:val="ListBullet"/>
      </w:pPr>
      <w:r>
        <w:rPr>
          <w:rFonts w:ascii="Calibri" w:hAnsi="Calibri"/>
          <w:sz w:val="21"/>
        </w:rPr>
        <w:t>Approve a Customer Success data request for customer/order-level cancellation reasons and affected orders.</w:t>
      </w:r>
    </w:p>
    <w:p>
      <w:pPr>
        <w:pStyle w:val="ListBullet"/>
      </w:pPr>
      <w:r>
        <w:rPr>
          <w:rFonts w:ascii="Calibri" w:hAnsi="Calibri"/>
          <w:sz w:val="21"/>
        </w:rPr>
        <w:t>Ask Sales and Product to review absolute revenue loss in declining South pockets before any broad pricing/product response.</w:t>
      </w:r>
    </w:p>
    <w:p>
      <w:pPr>
        <w:pStyle w:val="ListBullet"/>
      </w:pPr>
      <w:r>
        <w:rPr>
          <w:rFonts w:ascii="Calibri" w:hAnsi="Calibri"/>
          <w:sz w:val="21"/>
        </w:rPr>
        <w:t>Assign accountable owners and review dates for the evidence requests.</w:t>
      </w:r>
    </w:p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6. Guardrails</w:t>
      </w:r>
    </w:p>
    <w:p>
      <w:pPr>
        <w:pStyle w:val="ListBullet"/>
      </w:pPr>
      <w:r>
        <w:rPr>
          <w:rFonts w:ascii="Calibri" w:hAnsi="Calibri"/>
          <w:sz w:val="21"/>
        </w:rPr>
        <w:t>Do not treat South as the largest raw regional decline unless the regional comparison is explicitly being discussed.</w:t>
      </w:r>
    </w:p>
    <w:p>
      <w:pPr>
        <w:pStyle w:val="ListBullet"/>
      </w:pPr>
      <w:r>
        <w:rPr>
          <w:rFonts w:ascii="Calibri" w:hAnsi="Calibri"/>
          <w:sz w:val="21"/>
        </w:rPr>
        <w:t>Do not call SLA deterioration a confirmed root cause of cancellations.</w:t>
      </w:r>
    </w:p>
    <w:p>
      <w:pPr>
        <w:pStyle w:val="ListBullet"/>
      </w:pPr>
      <w:r>
        <w:rPr>
          <w:rFonts w:ascii="Calibri" w:hAnsi="Calibri"/>
          <w:sz w:val="21"/>
        </w:rPr>
        <w:t>Do not invent KPI targets, ROI, savings or implementation cost.</w:t>
      </w:r>
    </w:p>
    <w:p>
      <w:pPr>
        <w:pStyle w:val="ListBullet"/>
      </w:pPr>
      <w:r>
        <w:rPr>
          <w:rFonts w:ascii="Calibri" w:hAnsi="Calibri"/>
          <w:sz w:val="21"/>
        </w:rPr>
        <w:t>Treat the supplied dataset as a controlled portfolio dataset rather than a production source of truth.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080" w:right="1224" w:bottom="1080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6F67"/>
        <w:sz w:val="16"/>
      </w:rPr>
      <w:t xml:space="preserve">Prepared with BizLens — evidence-based business analysis   |   Page </w:t>
    </w:r>
    <w:r>
      <w:fldChar w:fldCharType="begin"/>
      <w:instrText xml:space="preserve">PAGE</w:instrText>
      <w:fldChar w:fldCharType="separate"/>
      <w:t/>
      <w:fldChar w:fldCharType="end"/>
    </w:r>
    <w:r>
      <w:rPr>
        <w:color w:val="716F67"/>
        <w:sz w:val="16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C9C2AE"/>
      </w:pBdr>
      <w:jc w:val="right"/>
    </w:pPr>
    <w:r>
      <w:rPr>
        <w:color w:val="716F67"/>
        <w:sz w:val="17"/>
      </w:rPr>
      <w:t>01 Executive Brief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