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pBdr>
          <w:bottom w:val="single" w:sz="10" w:space="4" w:color="4B5D3A"/>
        </w:pBdr>
        <w:jc w:val="center"/>
      </w:pPr>
    </w:p>
    <w:p>
      <w:pPr>
        <w:jc w:val="center"/>
      </w:pPr>
      <w:r>
        <w:rPr>
          <w:rFonts w:ascii="Georgia" w:hAnsi="Georgia"/>
          <w:b/>
          <w:color w:val="1F2A24"/>
          <w:sz w:val="56"/>
        </w:rPr>
        <w:t>02 BRD</w:t>
      </w:r>
    </w:p>
    <w:p>
      <w:pPr>
        <w:jc w:val="center"/>
      </w:pPr>
      <w:r>
        <w:rPr>
          <w:rFonts w:ascii="Calibri" w:hAnsi="Calibri"/>
          <w:color w:val="4B5D3A"/>
          <w:sz w:val="26"/>
        </w:rPr>
        <w:t>Business Analysis Deliverable</w:t>
      </w:r>
    </w:p>
    <w:p>
      <w:pPr>
        <w:pBdr>
          <w:bottom w:val="single" w:sz="10" w:space="4" w:color="4B5D3A"/>
        </w:pBdr>
        <w:jc w:val="center"/>
      </w:pPr>
    </w:p>
    <w:p/>
    <w:p>
      <w:pPr>
        <w:jc w:val="center"/>
      </w:pPr>
      <w:r>
        <w:rPr>
          <w:rFonts w:ascii="Calibri" w:hAnsi="Calibri"/>
          <w:color w:val="5B584F"/>
          <w:sz w:val="21"/>
        </w:rPr>
        <w:t>Prepared: 12 September 2026</w:t>
      </w:r>
    </w:p>
    <w:p>
      <w:pPr>
        <w:jc w:val="center"/>
      </w:pPr>
      <w:r>
        <w:rPr>
          <w:rFonts w:ascii="Calibri" w:hAnsi="Calibri"/>
          <w:color w:val="5B584F"/>
          <w:sz w:val="21"/>
        </w:rPr>
        <w:t>Status: Final portfolio case study</w:t>
      </w:r>
    </w:p>
    <w:p>
      <w:pPr>
        <w:jc w:val="center"/>
      </w:pPr>
      <w:r>
        <w:rPr>
          <w:rFonts w:ascii="Calibri" w:hAnsi="Calibri"/>
          <w:color w:val="5B584F"/>
          <w:sz w:val="21"/>
        </w:rPr>
        <w:t>Classification: Business Confidential — internal use</w:t>
      </w:r>
    </w:p>
    <w:p>
      <w:r>
        <w:rPr>
          <w:rFonts w:ascii="Calibri" w:hAnsi="Calibri"/>
          <w:sz w:val="21"/>
        </w:rPr>
        <w:br w:type="page"/>
      </w:r>
    </w:p>
    <w:p>
      <w:pPr>
        <w:pStyle w:val="Heading1"/>
        <w:pBdr>
          <w:bottom w:val="single" w:sz="6" w:space="4" w:color="C9C2AE"/>
        </w:pBdr>
      </w:pPr>
      <w:r>
        <w:rPr>
          <w:rFonts w:ascii="Georgia" w:hAnsi="Georgia"/>
          <w:color w:val="1F2A24"/>
          <w:sz w:val="21"/>
        </w:rPr>
        <w:t>Contents</w:t>
      </w:r>
    </w:p>
    <w:p>
      <w:pPr>
        <w:pStyle w:val="ListBullet"/>
      </w:pPr>
      <w:r>
        <w:rPr>
          <w:rFonts w:ascii="Calibri" w:hAnsi="Calibri"/>
          <w:color w:val="3A3830"/>
          <w:sz w:val="21"/>
        </w:rPr>
        <w:t>Document control</w:t>
      </w:r>
    </w:p>
    <w:p>
      <w:pPr>
        <w:pStyle w:val="ListBullet"/>
      </w:pPr>
      <w:r>
        <w:rPr>
          <w:rFonts w:ascii="Calibri" w:hAnsi="Calibri"/>
          <w:color w:val="3A3830"/>
          <w:sz w:val="21"/>
        </w:rPr>
        <w:t>1. Business problem</w:t>
      </w:r>
    </w:p>
    <w:p>
      <w:pPr>
        <w:pStyle w:val="ListBullet"/>
      </w:pPr>
      <w:r>
        <w:rPr>
          <w:rFonts w:ascii="Calibri" w:hAnsi="Calibri"/>
          <w:color w:val="3A3830"/>
          <w:sz w:val="21"/>
        </w:rPr>
        <w:t>2. Objectives</w:t>
      </w:r>
    </w:p>
    <w:p>
      <w:pPr>
        <w:pStyle w:val="ListBullet"/>
      </w:pPr>
      <w:r>
        <w:rPr>
          <w:rFonts w:ascii="Calibri" w:hAnsi="Calibri"/>
          <w:color w:val="3A3830"/>
          <w:sz w:val="21"/>
        </w:rPr>
        <w:t>3. Scope</w:t>
      </w:r>
    </w:p>
    <w:p>
      <w:pPr>
        <w:pStyle w:val="ListBullet"/>
      </w:pPr>
      <w:r>
        <w:rPr>
          <w:rFonts w:ascii="Calibri" w:hAnsi="Calibri"/>
          <w:color w:val="3A3830"/>
          <w:sz w:val="21"/>
        </w:rPr>
        <w:t>4. Out of scope</w:t>
      </w:r>
    </w:p>
    <w:p>
      <w:pPr>
        <w:pStyle w:val="ListBullet"/>
      </w:pPr>
      <w:r>
        <w:rPr>
          <w:rFonts w:ascii="Calibri" w:hAnsi="Calibri"/>
          <w:color w:val="3A3830"/>
          <w:sz w:val="21"/>
        </w:rPr>
        <w:t>5. Stakeholders</w:t>
      </w:r>
    </w:p>
    <w:p>
      <w:pPr>
        <w:pStyle w:val="ListBullet"/>
      </w:pPr>
      <w:r>
        <w:rPr>
          <w:rFonts w:ascii="Calibri" w:hAnsi="Calibri"/>
          <w:color w:val="3A3830"/>
          <w:sz w:val="21"/>
        </w:rPr>
        <w:t>6. AS-IS business state</w:t>
      </w:r>
    </w:p>
    <w:p>
      <w:pPr>
        <w:pStyle w:val="ListBullet"/>
      </w:pPr>
      <w:r>
        <w:rPr>
          <w:rFonts w:ascii="Calibri" w:hAnsi="Calibri"/>
          <w:color w:val="3A3830"/>
          <w:sz w:val="21"/>
        </w:rPr>
        <w:t>7. TO-BE business state</w:t>
      </w:r>
    </w:p>
    <w:p>
      <w:pPr>
        <w:pStyle w:val="ListBullet"/>
      </w:pPr>
      <w:r>
        <w:rPr>
          <w:rFonts w:ascii="Calibri" w:hAnsi="Calibri"/>
          <w:color w:val="3A3830"/>
          <w:sz w:val="21"/>
        </w:rPr>
        <w:t>8. Business requirements</w:t>
      </w:r>
    </w:p>
    <w:p>
      <w:pPr>
        <w:pStyle w:val="ListBullet"/>
      </w:pPr>
      <w:r>
        <w:rPr>
          <w:rFonts w:ascii="Calibri" w:hAnsi="Calibri"/>
          <w:color w:val="3A3830"/>
          <w:sz w:val="21"/>
        </w:rPr>
        <w:t>9. KPI and success measures</w:t>
      </w:r>
    </w:p>
    <w:p>
      <w:pPr>
        <w:pStyle w:val="ListBullet"/>
      </w:pPr>
      <w:r>
        <w:rPr>
          <w:rFonts w:ascii="Calibri" w:hAnsi="Calibri"/>
          <w:color w:val="3A3830"/>
          <w:sz w:val="21"/>
        </w:rPr>
        <w:t>10. Business rules and constraints</w:t>
      </w:r>
    </w:p>
    <w:p>
      <w:pPr>
        <w:pStyle w:val="ListBullet"/>
      </w:pPr>
      <w:r>
        <w:rPr>
          <w:rFonts w:ascii="Calibri" w:hAnsi="Calibri"/>
          <w:color w:val="3A3830"/>
          <w:sz w:val="21"/>
        </w:rPr>
        <w:t>11. Open questions</w:t>
      </w:r>
    </w:p>
    <w:p>
      <w:pPr>
        <w:pStyle w:val="ListBullet"/>
      </w:pPr>
      <w:r>
        <w:rPr>
          <w:rFonts w:ascii="Calibri" w:hAnsi="Calibri"/>
          <w:color w:val="3A3830"/>
          <w:sz w:val="21"/>
        </w:rPr>
        <w:t>12. Approval</w:t>
      </w:r>
    </w:p>
    <w:p>
      <w:r>
        <w:rPr>
          <w:rFonts w:ascii="Calibri" w:hAnsi="Calibri"/>
          <w:sz w:val="21"/>
        </w:rPr>
        <w:br w:type="page"/>
      </w:r>
    </w:p>
    <w:p>
      <w:pPr>
        <w:pStyle w:val="Heading1"/>
        <w:pBdr>
          <w:bottom w:val="single" w:sz="6" w:space="4" w:color="C9C2AE"/>
        </w:pBdr>
      </w:pPr>
      <w:r>
        <w:rPr>
          <w:rFonts w:ascii="Georgia" w:hAnsi="Georgia"/>
          <w:color w:val="1F2A24"/>
          <w:sz w:val="21"/>
        </w:rPr>
        <w:t>Document control</w:t>
      </w:r>
    </w:p>
    <w:p>
      <w:r>
        <w:rPr>
          <w:rFonts w:ascii="Calibri" w:hAnsi="Calibri"/>
          <w:sz w:val="21"/>
        </w:rPr>
        <w:t>Document ID: BRD-001</w:t>
      </w:r>
    </w:p>
    <w:p>
      <w:r>
        <w:rPr>
          <w:rFonts w:ascii="Calibri" w:hAnsi="Calibri"/>
          <w:sz w:val="21"/>
        </w:rPr>
        <w:t>Version: 3.0</w:t>
      </w:r>
    </w:p>
    <w:p>
      <w:r>
        <w:rPr>
          <w:rFonts w:ascii="Calibri" w:hAnsi="Calibri"/>
          <w:sz w:val="21"/>
        </w:rPr>
        <w:t>Status: Final portfolio case study</w:t>
      </w:r>
    </w:p>
    <w:p>
      <w:r>
        <w:rPr>
          <w:rFonts w:ascii="Calibri" w:hAnsi="Calibri"/>
          <w:sz w:val="21"/>
        </w:rPr>
        <w:t>Owner: Business Analysis</w:t>
      </w:r>
    </w:p>
    <w:p>
      <w:r>
        <w:rPr>
          <w:rFonts w:ascii="Calibri" w:hAnsi="Calibri"/>
          <w:sz w:val="21"/>
        </w:rPr>
        <w:t>Approval status: Pending business validation</w:t>
      </w:r>
    </w:p>
    <w:p>
      <w:r>
        <w:rPr>
          <w:rFonts w:ascii="Calibri" w:hAnsi="Calibri"/>
          <w:sz w:val="21"/>
        </w:rPr>
        <w:t>Business objective: Understand why revenue performance weakened in Q4, identify the regions, products and customer segments requiring management attention, and agree actions that can improve retention and delivery performance.</w:t>
      </w:r>
    </w:p>
    <w:p>
      <w:pPr>
        <w:pStyle w:val="Heading1"/>
        <w:pBdr>
          <w:bottom w:val="single" w:sz="6" w:space="4" w:color="C9C2AE"/>
        </w:pBdr>
      </w:pPr>
      <w:r>
        <w:rPr>
          <w:rFonts w:ascii="Georgia" w:hAnsi="Georgia"/>
          <w:color w:val="1F2A24"/>
          <w:sz w:val="21"/>
        </w:rPr>
        <w:t>1. Business problem</w:t>
      </w:r>
    </w:p>
    <w:p>
      <w:r>
        <w:rPr>
          <w:rFonts w:ascii="Calibri" w:hAnsi="Calibri"/>
          <w:sz w:val="21"/>
        </w:rPr>
        <w:t>Q4 revenue weakened by 1.6% versus Q3. South is highlighted by the supplied business context and shows a 2.1% revenue decline, lower SLA achievement and higher support pressure. The organisation needs to determine which commercial and operational factors require action and whether service performance is actually linked to customer cancellations.</w:t>
      </w:r>
    </w:p>
    <w:p>
      <w:pPr>
        <w:pStyle w:val="Heading1"/>
        <w:pBdr>
          <w:bottom w:val="single" w:sz="6" w:space="4" w:color="C9C2AE"/>
        </w:pBdr>
      </w:pPr>
      <w:r>
        <w:rPr>
          <w:rFonts w:ascii="Georgia" w:hAnsi="Georgia"/>
          <w:color w:val="1F2A24"/>
          <w:sz w:val="21"/>
        </w:rPr>
        <w:t>2. Objectives</w:t>
      </w:r>
    </w:p>
    <w:p>
      <w:pPr>
        <w:pStyle w:val="ListBullet"/>
      </w:pPr>
      <w:r>
        <w:rPr>
          <w:rFonts w:ascii="Calibri" w:hAnsi="Calibri"/>
          <w:sz w:val="21"/>
        </w:rPr>
        <w:t>BO-01 Explain the Q3→Q4 revenue movement using period-aligned evidence.</w:t>
      </w:r>
    </w:p>
    <w:p>
      <w:pPr>
        <w:pStyle w:val="ListBullet"/>
      </w:pPr>
      <w:r>
        <w:rPr>
          <w:rFonts w:ascii="Calibri" w:hAnsi="Calibri"/>
          <w:sz w:val="21"/>
        </w:rPr>
        <w:t>BO-02 Determine where the deterioration is concentrated, with South as the management focus from business context.</w:t>
      </w:r>
    </w:p>
    <w:p>
      <w:pPr>
        <w:pStyle w:val="ListBullet"/>
      </w:pPr>
      <w:r>
        <w:rPr>
          <w:rFonts w:ascii="Calibri" w:hAnsi="Calibri"/>
          <w:sz w:val="21"/>
        </w:rPr>
        <w:t>BO-03 Assess product, customer-segment and channel contributors.</w:t>
      </w:r>
    </w:p>
    <w:p>
      <w:pPr>
        <w:pStyle w:val="ListBullet"/>
      </w:pPr>
      <w:r>
        <w:rPr>
          <w:rFonts w:ascii="Calibri" w:hAnsi="Calibri"/>
          <w:sz w:val="21"/>
        </w:rPr>
        <w:t>BO-04 Validate or reject the proposed service-to-cancellation relationship using customer/order-level evidence.</w:t>
      </w:r>
    </w:p>
    <w:p>
      <w:pPr>
        <w:pStyle w:val="ListBullet"/>
      </w:pPr>
      <w:r>
        <w:rPr>
          <w:rFonts w:ascii="Calibri" w:hAnsi="Calibri"/>
          <w:sz w:val="21"/>
        </w:rPr>
        <w:t>BO-05 Convert validated findings into owned actions, measures, dependencies and review cadence.</w:t>
      </w:r>
    </w:p>
    <w:p>
      <w:pPr>
        <w:pStyle w:val="Heading1"/>
        <w:pBdr>
          <w:bottom w:val="single" w:sz="6" w:space="4" w:color="C9C2AE"/>
        </w:pBdr>
      </w:pPr>
      <w:r>
        <w:rPr>
          <w:rFonts w:ascii="Georgia" w:hAnsi="Georgia"/>
          <w:color w:val="1F2A24"/>
          <w:sz w:val="21"/>
        </w:rPr>
        <w:t>3. Scope</w:t>
      </w:r>
    </w:p>
    <w:p>
      <w:pPr>
        <w:pStyle w:val="ListBullet"/>
      </w:pPr>
      <w:r>
        <w:rPr>
          <w:rFonts w:ascii="Calibri" w:hAnsi="Calibri"/>
          <w:sz w:val="21"/>
        </w:rPr>
        <w:t>2025 commercial performance; Q3→Q4 comparison; regional, product, segment and channel analysis; South service indicators; cancellation evidence sufficiency; recommendations and BA delivery artefacts.</w:t>
      </w:r>
    </w:p>
    <w:p>
      <w:pPr>
        <w:pStyle w:val="Heading1"/>
        <w:pBdr>
          <w:bottom w:val="single" w:sz="6" w:space="4" w:color="C9C2AE"/>
        </w:pBdr>
      </w:pPr>
      <w:r>
        <w:rPr>
          <w:rFonts w:ascii="Georgia" w:hAnsi="Georgia"/>
          <w:color w:val="1F2A24"/>
          <w:sz w:val="21"/>
        </w:rPr>
        <w:t>4. Out of scope</w:t>
      </w:r>
    </w:p>
    <w:p>
      <w:pPr>
        <w:pStyle w:val="ListBullet"/>
      </w:pPr>
      <w:r>
        <w:rPr>
          <w:rFonts w:ascii="Calibri" w:hAnsi="Calibri"/>
          <w:sz w:val="21"/>
        </w:rPr>
        <w:t>Pricing or product redesign decisions without supporting analysis; production system replacement; causal claims without linkage; financial ROI calculations without approved cost/benefit assumptions.</w:t>
      </w:r>
    </w:p>
    <w:p>
      <w:pPr>
        <w:pStyle w:val="Heading1"/>
        <w:pBdr>
          <w:bottom w:val="single" w:sz="6" w:space="4" w:color="C9C2AE"/>
        </w:pBdr>
      </w:pPr>
      <w:r>
        <w:rPr>
          <w:rFonts w:ascii="Georgia" w:hAnsi="Georgia"/>
          <w:color w:val="1F2A24"/>
          <w:sz w:val="21"/>
        </w:rPr>
        <w:t>5. Stakeholders</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4B5D3A"/>
          </w:tcPr>
          <w:p>
            <w:r>
              <w:rPr>
                <w:rFonts w:ascii="Calibri" w:hAnsi="Calibri"/>
                <w:b/>
                <w:color w:val="FFFFFF"/>
                <w:sz w:val="19"/>
              </w:rPr>
              <w:t>Stakeholder</w:t>
            </w:r>
          </w:p>
        </w:tc>
        <w:tc>
          <w:tcPr>
            <w:tcW w:type="dxa" w:w="3264"/>
            <w:shd w:val="clear" w:color="auto" w:fill="4B5D3A"/>
          </w:tcPr>
          <w:p>
            <w:r>
              <w:rPr>
                <w:rFonts w:ascii="Calibri" w:hAnsi="Calibri"/>
                <w:b/>
                <w:color w:val="FFFFFF"/>
                <w:sz w:val="19"/>
              </w:rPr>
              <w:t>Primary responsibility</w:t>
            </w:r>
          </w:p>
        </w:tc>
        <w:tc>
          <w:tcPr>
            <w:tcW w:type="dxa" w:w="3264"/>
            <w:shd w:val="clear" w:color="auto" w:fill="4B5D3A"/>
          </w:tcPr>
          <w:p>
            <w:r>
              <w:rPr>
                <w:rFonts w:ascii="Calibri" w:hAnsi="Calibri"/>
                <w:b/>
                <w:color w:val="FFFFFF"/>
                <w:sz w:val="19"/>
              </w:rPr>
              <w:t>Decision interest</w:t>
            </w:r>
          </w:p>
        </w:tc>
      </w:tr>
      <w:tr>
        <w:tc>
          <w:tcPr>
            <w:tcW w:type="dxa" w:w="3264"/>
          </w:tcPr>
          <w:p>
            <w:r>
              <w:rPr>
                <w:rFonts w:ascii="Calibri" w:hAnsi="Calibri"/>
              </w:rPr>
              <w:t>Management / Business Owner</w:t>
            </w:r>
          </w:p>
        </w:tc>
        <w:tc>
          <w:tcPr>
            <w:tcW w:type="dxa" w:w="3264"/>
          </w:tcPr>
          <w:p>
            <w:r>
              <w:rPr>
                <w:rFonts w:ascii="Calibri" w:hAnsi="Calibri"/>
              </w:rPr>
              <w:t>Decision and prioritisation</w:t>
            </w:r>
          </w:p>
        </w:tc>
        <w:tc>
          <w:tcPr>
            <w:tcW w:type="dxa" w:w="3264"/>
          </w:tcPr>
          <w:p>
            <w:r>
              <w:rPr>
                <w:rFonts w:ascii="Calibri" w:hAnsi="Calibri"/>
              </w:rPr>
              <w:t>Outcome, risk, target</w:t>
            </w:r>
          </w:p>
        </w:tc>
      </w:tr>
      <w:tr>
        <w:tc>
          <w:tcPr>
            <w:tcW w:type="dxa" w:w="3264"/>
            <w:shd w:val="clear" w:color="auto" w:fill="F6F4EC"/>
          </w:tcPr>
          <w:p>
            <w:r>
              <w:rPr>
                <w:rFonts w:ascii="Calibri" w:hAnsi="Calibri"/>
              </w:rPr>
              <w:t>Operations</w:t>
            </w:r>
          </w:p>
        </w:tc>
        <w:tc>
          <w:tcPr>
            <w:tcW w:type="dxa" w:w="3264"/>
            <w:shd w:val="clear" w:color="auto" w:fill="F6F4EC"/>
          </w:tcPr>
          <w:p>
            <w:r>
              <w:rPr>
                <w:rFonts w:ascii="Calibri" w:hAnsi="Calibri"/>
              </w:rPr>
              <w:t>Service / delivery owner</w:t>
            </w:r>
          </w:p>
        </w:tc>
        <w:tc>
          <w:tcPr>
            <w:tcW w:type="dxa" w:w="3264"/>
            <w:shd w:val="clear" w:color="auto" w:fill="F6F4EC"/>
          </w:tcPr>
          <w:p>
            <w:r>
              <w:rPr>
                <w:rFonts w:ascii="Calibri" w:hAnsi="Calibri"/>
              </w:rPr>
              <w:t>SLA, delivery failure, recovery</w:t>
            </w:r>
          </w:p>
        </w:tc>
      </w:tr>
      <w:tr>
        <w:tc>
          <w:tcPr>
            <w:tcW w:type="dxa" w:w="3264"/>
          </w:tcPr>
          <w:p>
            <w:r>
              <w:rPr>
                <w:rFonts w:ascii="Calibri" w:hAnsi="Calibri"/>
              </w:rPr>
              <w:t>Customer Success</w:t>
            </w:r>
          </w:p>
        </w:tc>
        <w:tc>
          <w:tcPr>
            <w:tcW w:type="dxa" w:w="3264"/>
          </w:tcPr>
          <w:p>
            <w:r>
              <w:rPr>
                <w:rFonts w:ascii="Calibri" w:hAnsi="Calibri"/>
              </w:rPr>
              <w:t>Retention evidence owner</w:t>
            </w:r>
          </w:p>
        </w:tc>
        <w:tc>
          <w:tcPr>
            <w:tcW w:type="dxa" w:w="3264"/>
          </w:tcPr>
          <w:p>
            <w:r>
              <w:rPr>
                <w:rFonts w:ascii="Calibri" w:hAnsi="Calibri"/>
              </w:rPr>
              <w:t>Cancellation reasons and affected accounts</w:t>
            </w:r>
          </w:p>
        </w:tc>
      </w:tr>
      <w:tr>
        <w:tc>
          <w:tcPr>
            <w:tcW w:type="dxa" w:w="3264"/>
            <w:shd w:val="clear" w:color="auto" w:fill="F6F4EC"/>
          </w:tcPr>
          <w:p>
            <w:r>
              <w:rPr>
                <w:rFonts w:ascii="Calibri" w:hAnsi="Calibri"/>
              </w:rPr>
              <w:t>Sales</w:t>
            </w:r>
          </w:p>
        </w:tc>
        <w:tc>
          <w:tcPr>
            <w:tcW w:type="dxa" w:w="3264"/>
            <w:shd w:val="clear" w:color="auto" w:fill="F6F4EC"/>
          </w:tcPr>
          <w:p>
            <w:r>
              <w:rPr>
                <w:rFonts w:ascii="Calibri" w:hAnsi="Calibri"/>
              </w:rPr>
              <w:t>Commercial owner</w:t>
            </w:r>
          </w:p>
        </w:tc>
        <w:tc>
          <w:tcPr>
            <w:tcW w:type="dxa" w:w="3264"/>
            <w:shd w:val="clear" w:color="auto" w:fill="F6F4EC"/>
          </w:tcPr>
          <w:p>
            <w:r>
              <w:rPr>
                <w:rFonts w:ascii="Calibri" w:hAnsi="Calibri"/>
              </w:rPr>
              <w:t>High-value accounts and revenue pockets</w:t>
            </w:r>
          </w:p>
        </w:tc>
      </w:tr>
      <w:tr>
        <w:tc>
          <w:tcPr>
            <w:tcW w:type="dxa" w:w="3264"/>
          </w:tcPr>
          <w:p>
            <w:r>
              <w:rPr>
                <w:rFonts w:ascii="Calibri" w:hAnsi="Calibri"/>
              </w:rPr>
              <w:t>Product</w:t>
            </w:r>
          </w:p>
        </w:tc>
        <w:tc>
          <w:tcPr>
            <w:tcW w:type="dxa" w:w="3264"/>
          </w:tcPr>
          <w:p>
            <w:r>
              <w:rPr>
                <w:rFonts w:ascii="Calibri" w:hAnsi="Calibri"/>
              </w:rPr>
              <w:t>Product context owner</w:t>
            </w:r>
          </w:p>
        </w:tc>
        <w:tc>
          <w:tcPr>
            <w:tcW w:type="dxa" w:w="3264"/>
          </w:tcPr>
          <w:p>
            <w:r>
              <w:rPr>
                <w:rFonts w:ascii="Calibri" w:hAnsi="Calibri"/>
              </w:rPr>
              <w:t>Product decline and mix</w:t>
            </w:r>
          </w:p>
        </w:tc>
      </w:tr>
      <w:tr>
        <w:tc>
          <w:tcPr>
            <w:tcW w:type="dxa" w:w="3264"/>
            <w:shd w:val="clear" w:color="auto" w:fill="F6F4EC"/>
          </w:tcPr>
          <w:p>
            <w:r>
              <w:rPr>
                <w:rFonts w:ascii="Calibri" w:hAnsi="Calibri"/>
              </w:rPr>
              <w:t>Analytics / BA</w:t>
            </w:r>
          </w:p>
        </w:tc>
        <w:tc>
          <w:tcPr>
            <w:tcW w:type="dxa" w:w="3264"/>
            <w:shd w:val="clear" w:color="auto" w:fill="F6F4EC"/>
          </w:tcPr>
          <w:p>
            <w:r>
              <w:rPr>
                <w:rFonts w:ascii="Calibri" w:hAnsi="Calibri"/>
              </w:rPr>
              <w:t>Analysis and traceability</w:t>
            </w:r>
          </w:p>
        </w:tc>
        <w:tc>
          <w:tcPr>
            <w:tcW w:type="dxa" w:w="3264"/>
            <w:shd w:val="clear" w:color="auto" w:fill="F6F4EC"/>
          </w:tcPr>
          <w:p>
            <w:r>
              <w:rPr>
                <w:rFonts w:ascii="Calibri" w:hAnsi="Calibri"/>
              </w:rPr>
              <w:t>Evidence, requirements, decision support</w:t>
            </w:r>
          </w:p>
        </w:tc>
      </w:tr>
    </w:tbl>
    <w:p>
      <w:pPr>
        <w:pStyle w:val="Heading1"/>
        <w:pBdr>
          <w:bottom w:val="single" w:sz="6" w:space="4" w:color="C9C2AE"/>
        </w:pBdr>
      </w:pPr>
      <w:r>
        <w:rPr>
          <w:rFonts w:ascii="Georgia" w:hAnsi="Georgia"/>
          <w:color w:val="1F2A24"/>
          <w:sz w:val="21"/>
        </w:rPr>
        <w:t>6. AS-IS business state</w:t>
      </w:r>
    </w:p>
    <w:p>
      <w:pPr>
        <w:pStyle w:val="ListBullet"/>
      </w:pPr>
      <w:r>
        <w:rPr>
          <w:rFonts w:ascii="Calibri" w:hAnsi="Calibri"/>
          <w:sz w:val="21"/>
        </w:rPr>
        <w:t>Management has commercial and operational evidence, but the evidence is not yet joined at customer/order level.</w:t>
      </w:r>
    </w:p>
    <w:p>
      <w:pPr>
        <w:pStyle w:val="ListBullet"/>
      </w:pPr>
      <w:r>
        <w:rPr>
          <w:rFonts w:ascii="Calibri" w:hAnsi="Calibri"/>
          <w:sz w:val="21"/>
        </w:rPr>
        <w:t>South performance is weaker in Q4 and service signals deteriorated in the same period.</w:t>
      </w:r>
    </w:p>
    <w:p>
      <w:pPr>
        <w:pStyle w:val="ListBullet"/>
      </w:pPr>
      <w:r>
        <w:rPr>
          <w:rFonts w:ascii="Calibri" w:hAnsi="Calibri"/>
          <w:sz w:val="21"/>
        </w:rPr>
        <w:t>Business stakeholders have raised cancellation and delivery concerns.</w:t>
      </w:r>
    </w:p>
    <w:p>
      <w:pPr>
        <w:pStyle w:val="ListBullet"/>
      </w:pPr>
      <w:r>
        <w:rPr>
          <w:rFonts w:ascii="Calibri" w:hAnsi="Calibri"/>
          <w:sz w:val="21"/>
        </w:rPr>
        <w:t>The current evidence identifies where to investigate but does not prove the individual-level cause of cancellation.</w:t>
      </w:r>
    </w:p>
    <w:p>
      <w:pPr>
        <w:pStyle w:val="Heading1"/>
        <w:pBdr>
          <w:bottom w:val="single" w:sz="6" w:space="4" w:color="C9C2AE"/>
        </w:pBdr>
      </w:pPr>
      <w:r>
        <w:rPr>
          <w:rFonts w:ascii="Georgia" w:hAnsi="Georgia"/>
          <w:color w:val="1F2A24"/>
          <w:sz w:val="21"/>
        </w:rPr>
        <w:t>7. TO-BE business state</w:t>
      </w:r>
    </w:p>
    <w:p>
      <w:pPr>
        <w:pStyle w:val="ListBullet"/>
      </w:pPr>
      <w:r>
        <w:rPr>
          <w:rFonts w:ascii="Calibri" w:hAnsi="Calibri"/>
          <w:sz w:val="21"/>
        </w:rPr>
        <w:t>A period-aligned performance view identifies the priority area and its absolute impact.</w:t>
      </w:r>
    </w:p>
    <w:p>
      <w:pPr>
        <w:pStyle w:val="ListBullet"/>
      </w:pPr>
      <w:r>
        <w:rPr>
          <w:rFonts w:ascii="Calibri" w:hAnsi="Calibri"/>
          <w:sz w:val="21"/>
        </w:rPr>
        <w:t>Commercial, service and retention evidence can be joined at customer/order level where permitted.</w:t>
      </w:r>
    </w:p>
    <w:p>
      <w:pPr>
        <w:pStyle w:val="ListBullet"/>
      </w:pPr>
      <w:r>
        <w:rPr>
          <w:rFonts w:ascii="Calibri" w:hAnsi="Calibri"/>
          <w:sz w:val="21"/>
        </w:rPr>
        <w:t>Each finding is labelled observed, hypothesis or evidence gap.</w:t>
      </w:r>
    </w:p>
    <w:p>
      <w:pPr>
        <w:pStyle w:val="ListBullet"/>
      </w:pPr>
      <w:r>
        <w:rPr>
          <w:rFonts w:ascii="Calibri" w:hAnsi="Calibri"/>
          <w:sz w:val="21"/>
        </w:rPr>
        <w:t>Approved actions have accountable owners, success measures, dependencies and review dates.</w:t>
      </w:r>
    </w:p>
    <w:p>
      <w:pPr>
        <w:pStyle w:val="Heading1"/>
        <w:pBdr>
          <w:bottom w:val="single" w:sz="6" w:space="4" w:color="C9C2AE"/>
        </w:pBdr>
      </w:pPr>
      <w:r>
        <w:rPr>
          <w:rFonts w:ascii="Georgia" w:hAnsi="Georgia"/>
          <w:color w:val="1F2A24"/>
          <w:sz w:val="21"/>
        </w:rPr>
        <w:t>8. Business requirements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4B5D3A"/>
          </w:tcPr>
          <w:p>
            <w:r>
              <w:rPr>
                <w:rFonts w:ascii="Calibri" w:hAnsi="Calibri"/>
                <w:b/>
                <w:color w:val="FFFFFF"/>
                <w:sz w:val="19"/>
              </w:rPr>
              <w:t>ID</w:t>
            </w:r>
          </w:p>
        </w:tc>
        <w:tc>
          <w:tcPr>
            <w:tcW w:type="dxa" w:w="1958"/>
            <w:shd w:val="clear" w:color="auto" w:fill="4B5D3A"/>
          </w:tcPr>
          <w:p>
            <w:r>
              <w:rPr>
                <w:rFonts w:ascii="Calibri" w:hAnsi="Calibri"/>
                <w:b/>
                <w:color w:val="FFFFFF"/>
                <w:sz w:val="19"/>
              </w:rPr>
              <w:t>Business requirement</w:t>
            </w:r>
          </w:p>
        </w:tc>
        <w:tc>
          <w:tcPr>
            <w:tcW w:type="dxa" w:w="1958"/>
            <w:shd w:val="clear" w:color="auto" w:fill="4B5D3A"/>
          </w:tcPr>
          <w:p>
            <w:r>
              <w:rPr>
                <w:rFonts w:ascii="Calibri" w:hAnsi="Calibri"/>
                <w:b/>
                <w:color w:val="FFFFFF"/>
                <w:sz w:val="19"/>
              </w:rPr>
              <w:t>Priority</w:t>
            </w:r>
          </w:p>
        </w:tc>
        <w:tc>
          <w:tcPr>
            <w:tcW w:type="dxa" w:w="1958"/>
            <w:shd w:val="clear" w:color="auto" w:fill="4B5D3A"/>
          </w:tcPr>
          <w:p>
            <w:r>
              <w:rPr>
                <w:rFonts w:ascii="Calibri" w:hAnsi="Calibri"/>
                <w:b/>
                <w:color w:val="FFFFFF"/>
                <w:sz w:val="19"/>
              </w:rPr>
              <w:t>FR link</w:t>
            </w:r>
          </w:p>
        </w:tc>
        <w:tc>
          <w:tcPr>
            <w:tcW w:type="dxa" w:w="1958"/>
            <w:shd w:val="clear" w:color="auto" w:fill="4B5D3A"/>
          </w:tcPr>
          <w:p>
            <w:r>
              <w:rPr>
                <w:rFonts w:ascii="Calibri" w:hAnsi="Calibri"/>
                <w:b/>
                <w:color w:val="FFFFFF"/>
                <w:sz w:val="19"/>
              </w:rPr>
              <w:t>Evidence</w:t>
            </w:r>
          </w:p>
        </w:tc>
      </w:tr>
      <w:tr>
        <w:tc>
          <w:tcPr>
            <w:tcW w:type="dxa" w:w="1958"/>
          </w:tcPr>
          <w:p>
            <w:r>
              <w:rPr>
                <w:rFonts w:ascii="Calibri" w:hAnsi="Calibri"/>
              </w:rPr>
              <w:t>BR-01</w:t>
            </w:r>
          </w:p>
        </w:tc>
        <w:tc>
          <w:tcPr>
            <w:tcW w:type="dxa" w:w="1958"/>
          </w:tcPr>
          <w:p>
            <w:r>
              <w:rPr>
                <w:rFonts w:ascii="Calibri" w:hAnsi="Calibri"/>
              </w:rPr>
              <w:t>Provide reliable commercial KPI baselines</w:t>
            </w:r>
          </w:p>
        </w:tc>
        <w:tc>
          <w:tcPr>
            <w:tcW w:type="dxa" w:w="1958"/>
          </w:tcPr>
          <w:p>
            <w:r>
              <w:rPr>
                <w:rFonts w:ascii="Calibri" w:hAnsi="Calibri"/>
              </w:rPr>
              <w:t>High</w:t>
            </w:r>
          </w:p>
        </w:tc>
        <w:tc>
          <w:tcPr>
            <w:tcW w:type="dxa" w:w="1958"/>
          </w:tcPr>
          <w:p>
            <w:r>
              <w:rPr>
                <w:rFonts w:ascii="Calibri" w:hAnsi="Calibri"/>
              </w:rPr>
              <w:t>FR-01</w:t>
            </w:r>
          </w:p>
        </w:tc>
        <w:tc>
          <w:tcPr>
            <w:tcW w:type="dxa" w:w="1958"/>
          </w:tcPr>
          <w:p>
            <w:r>
              <w:rPr>
                <w:rFonts w:ascii="Calibri" w:hAnsi="Calibri"/>
              </w:rPr>
              <w:t>E-001,E-002</w:t>
            </w:r>
          </w:p>
        </w:tc>
      </w:tr>
      <w:tr>
        <w:tc>
          <w:tcPr>
            <w:tcW w:type="dxa" w:w="1958"/>
            <w:shd w:val="clear" w:color="auto" w:fill="F6F4EC"/>
          </w:tcPr>
          <w:p>
            <w:r>
              <w:rPr>
                <w:rFonts w:ascii="Calibri" w:hAnsi="Calibri"/>
              </w:rPr>
              <w:t>BR-02</w:t>
            </w:r>
          </w:p>
        </w:tc>
        <w:tc>
          <w:tcPr>
            <w:tcW w:type="dxa" w:w="1958"/>
            <w:shd w:val="clear" w:color="auto" w:fill="F6F4EC"/>
          </w:tcPr>
          <w:p>
            <w:r>
              <w:rPr>
                <w:rFonts w:ascii="Calibri" w:hAnsi="Calibri"/>
              </w:rPr>
              <w:t>Analyse performance by region, product, segment and channel</w:t>
            </w:r>
          </w:p>
        </w:tc>
        <w:tc>
          <w:tcPr>
            <w:tcW w:type="dxa" w:w="1958"/>
            <w:shd w:val="clear" w:color="auto" w:fill="F6F4EC"/>
          </w:tcPr>
          <w:p>
            <w:r>
              <w:rPr>
                <w:rFonts w:ascii="Calibri" w:hAnsi="Calibri"/>
              </w:rPr>
              <w:t>High</w:t>
            </w:r>
          </w:p>
        </w:tc>
        <w:tc>
          <w:tcPr>
            <w:tcW w:type="dxa" w:w="1958"/>
            <w:shd w:val="clear" w:color="auto" w:fill="F6F4EC"/>
          </w:tcPr>
          <w:p>
            <w:r>
              <w:rPr>
                <w:rFonts w:ascii="Calibri" w:hAnsi="Calibri"/>
              </w:rPr>
              <w:t>FR-02</w:t>
            </w:r>
          </w:p>
        </w:tc>
        <w:tc>
          <w:tcPr>
            <w:tcW w:type="dxa" w:w="1958"/>
            <w:shd w:val="clear" w:color="auto" w:fill="F6F4EC"/>
          </w:tcPr>
          <w:p>
            <w:r>
              <w:rPr>
                <w:rFonts w:ascii="Calibri" w:hAnsi="Calibri"/>
              </w:rPr>
              <w:t>E-003,E-006,E-007,E-008</w:t>
            </w:r>
          </w:p>
        </w:tc>
      </w:tr>
      <w:tr>
        <w:tc>
          <w:tcPr>
            <w:tcW w:type="dxa" w:w="1958"/>
          </w:tcPr>
          <w:p>
            <w:r>
              <w:rPr>
                <w:rFonts w:ascii="Calibri" w:hAnsi="Calibri"/>
              </w:rPr>
              <w:t>BR-03</w:t>
            </w:r>
          </w:p>
        </w:tc>
        <w:tc>
          <w:tcPr>
            <w:tcW w:type="dxa" w:w="1958"/>
          </w:tcPr>
          <w:p>
            <w:r>
              <w:rPr>
                <w:rFonts w:ascii="Calibri" w:hAnsi="Calibri"/>
              </w:rPr>
              <w:t>Compare aligned periods and quantify movement</w:t>
            </w:r>
          </w:p>
        </w:tc>
        <w:tc>
          <w:tcPr>
            <w:tcW w:type="dxa" w:w="1958"/>
          </w:tcPr>
          <w:p>
            <w:r>
              <w:rPr>
                <w:rFonts w:ascii="Calibri" w:hAnsi="Calibri"/>
              </w:rPr>
              <w:t>High</w:t>
            </w:r>
          </w:p>
        </w:tc>
        <w:tc>
          <w:tcPr>
            <w:tcW w:type="dxa" w:w="1958"/>
          </w:tcPr>
          <w:p>
            <w:r>
              <w:rPr>
                <w:rFonts w:ascii="Calibri" w:hAnsi="Calibri"/>
              </w:rPr>
              <w:t>FR-03</w:t>
            </w:r>
          </w:p>
        </w:tc>
        <w:tc>
          <w:tcPr>
            <w:tcW w:type="dxa" w:w="1958"/>
          </w:tcPr>
          <w:p>
            <w:r>
              <w:rPr>
                <w:rFonts w:ascii="Calibri" w:hAnsi="Calibri"/>
              </w:rPr>
              <w:t>E-002,E-003</w:t>
            </w:r>
          </w:p>
        </w:tc>
      </w:tr>
      <w:tr>
        <w:tc>
          <w:tcPr>
            <w:tcW w:type="dxa" w:w="1958"/>
            <w:shd w:val="clear" w:color="auto" w:fill="F6F4EC"/>
          </w:tcPr>
          <w:p>
            <w:r>
              <w:rPr>
                <w:rFonts w:ascii="Calibri" w:hAnsi="Calibri"/>
              </w:rPr>
              <w:t>BR-04</w:t>
            </w:r>
          </w:p>
        </w:tc>
        <w:tc>
          <w:tcPr>
            <w:tcW w:type="dxa" w:w="1958"/>
            <w:shd w:val="clear" w:color="auto" w:fill="F6F4EC"/>
          </w:tcPr>
          <w:p>
            <w:r>
              <w:rPr>
                <w:rFonts w:ascii="Calibri" w:hAnsi="Calibri"/>
              </w:rPr>
              <w:t>Identify and explain the management priority area without false ranking claims</w:t>
            </w:r>
          </w:p>
        </w:tc>
        <w:tc>
          <w:tcPr>
            <w:tcW w:type="dxa" w:w="1958"/>
            <w:shd w:val="clear" w:color="auto" w:fill="F6F4EC"/>
          </w:tcPr>
          <w:p>
            <w:r>
              <w:rPr>
                <w:rFonts w:ascii="Calibri" w:hAnsi="Calibri"/>
              </w:rPr>
              <w:t>High</w:t>
            </w:r>
          </w:p>
        </w:tc>
        <w:tc>
          <w:tcPr>
            <w:tcW w:type="dxa" w:w="1958"/>
            <w:shd w:val="clear" w:color="auto" w:fill="F6F4EC"/>
          </w:tcPr>
          <w:p>
            <w:r>
              <w:rPr>
                <w:rFonts w:ascii="Calibri" w:hAnsi="Calibri"/>
              </w:rPr>
              <w:t>FR-04</w:t>
            </w:r>
          </w:p>
        </w:tc>
        <w:tc>
          <w:tcPr>
            <w:tcW w:type="dxa" w:w="1958"/>
            <w:shd w:val="clear" w:color="auto" w:fill="F6F4EC"/>
          </w:tcPr>
          <w:p>
            <w:r>
              <w:rPr>
                <w:rFonts w:ascii="Calibri" w:hAnsi="Calibri"/>
              </w:rPr>
              <w:t>E-010</w:t>
            </w:r>
          </w:p>
        </w:tc>
      </w:tr>
      <w:tr>
        <w:tc>
          <w:tcPr>
            <w:tcW w:type="dxa" w:w="1958"/>
          </w:tcPr>
          <w:p>
            <w:r>
              <w:rPr>
                <w:rFonts w:ascii="Calibri" w:hAnsi="Calibri"/>
              </w:rPr>
              <w:t>BR-05</w:t>
            </w:r>
          </w:p>
        </w:tc>
        <w:tc>
          <w:tcPr>
            <w:tcW w:type="dxa" w:w="1958"/>
          </w:tcPr>
          <w:p>
            <w:r>
              <w:rPr>
                <w:rFonts w:ascii="Calibri" w:hAnsi="Calibri"/>
              </w:rPr>
              <w:t>Assess service indicators alongside commercial movement</w:t>
            </w:r>
          </w:p>
        </w:tc>
        <w:tc>
          <w:tcPr>
            <w:tcW w:type="dxa" w:w="1958"/>
          </w:tcPr>
          <w:p>
            <w:r>
              <w:rPr>
                <w:rFonts w:ascii="Calibri" w:hAnsi="Calibri"/>
              </w:rPr>
              <w:t>High</w:t>
            </w:r>
          </w:p>
        </w:tc>
        <w:tc>
          <w:tcPr>
            <w:tcW w:type="dxa" w:w="1958"/>
          </w:tcPr>
          <w:p>
            <w:r>
              <w:rPr>
                <w:rFonts w:ascii="Calibri" w:hAnsi="Calibri"/>
              </w:rPr>
              <w:t>FR-05</w:t>
            </w:r>
          </w:p>
        </w:tc>
        <w:tc>
          <w:tcPr>
            <w:tcW w:type="dxa" w:w="1958"/>
          </w:tcPr>
          <w:p>
            <w:r>
              <w:rPr>
                <w:rFonts w:ascii="Calibri" w:hAnsi="Calibri"/>
              </w:rPr>
              <w:t>E-004,E-005</w:t>
            </w:r>
          </w:p>
        </w:tc>
      </w:tr>
      <w:tr>
        <w:tc>
          <w:tcPr>
            <w:tcW w:type="dxa" w:w="1958"/>
            <w:shd w:val="clear" w:color="auto" w:fill="F6F4EC"/>
          </w:tcPr>
          <w:p>
            <w:r>
              <w:rPr>
                <w:rFonts w:ascii="Calibri" w:hAnsi="Calibri"/>
              </w:rPr>
              <w:t>BR-06</w:t>
            </w:r>
          </w:p>
        </w:tc>
        <w:tc>
          <w:tcPr>
            <w:tcW w:type="dxa" w:w="1958"/>
            <w:shd w:val="clear" w:color="auto" w:fill="F6F4EC"/>
          </w:tcPr>
          <w:p>
            <w:r>
              <w:rPr>
                <w:rFonts w:ascii="Calibri" w:hAnsi="Calibri"/>
              </w:rPr>
              <w:t>Assess cancellation evidence only when volume/linkage is sufficient</w:t>
            </w:r>
          </w:p>
        </w:tc>
        <w:tc>
          <w:tcPr>
            <w:tcW w:type="dxa" w:w="1958"/>
            <w:shd w:val="clear" w:color="auto" w:fill="F6F4EC"/>
          </w:tcPr>
          <w:p>
            <w:r>
              <w:rPr>
                <w:rFonts w:ascii="Calibri" w:hAnsi="Calibri"/>
              </w:rPr>
              <w:t>High</w:t>
            </w:r>
          </w:p>
        </w:tc>
        <w:tc>
          <w:tcPr>
            <w:tcW w:type="dxa" w:w="1958"/>
            <w:shd w:val="clear" w:color="auto" w:fill="F6F4EC"/>
          </w:tcPr>
          <w:p>
            <w:r>
              <w:rPr>
                <w:rFonts w:ascii="Calibri" w:hAnsi="Calibri"/>
              </w:rPr>
              <w:t>FR-06</w:t>
            </w:r>
          </w:p>
        </w:tc>
        <w:tc>
          <w:tcPr>
            <w:tcW w:type="dxa" w:w="1958"/>
            <w:shd w:val="clear" w:color="auto" w:fill="F6F4EC"/>
          </w:tcPr>
          <w:p>
            <w:r>
              <w:rPr>
                <w:rFonts w:ascii="Calibri" w:hAnsi="Calibri"/>
              </w:rPr>
              <w:t>E-009,E-010</w:t>
            </w:r>
          </w:p>
        </w:tc>
      </w:tr>
      <w:tr>
        <w:tc>
          <w:tcPr>
            <w:tcW w:type="dxa" w:w="1958"/>
          </w:tcPr>
          <w:p>
            <w:r>
              <w:rPr>
                <w:rFonts w:ascii="Calibri" w:hAnsi="Calibri"/>
              </w:rPr>
              <w:t>BR-07</w:t>
            </w:r>
          </w:p>
        </w:tc>
        <w:tc>
          <w:tcPr>
            <w:tcW w:type="dxa" w:w="1958"/>
          </w:tcPr>
          <w:p>
            <w:r>
              <w:rPr>
                <w:rFonts w:ascii="Calibri" w:hAnsi="Calibri"/>
              </w:rPr>
              <w:t>Separate observed evidence from hypotheses and gaps</w:t>
            </w:r>
          </w:p>
        </w:tc>
        <w:tc>
          <w:tcPr>
            <w:tcW w:type="dxa" w:w="1958"/>
          </w:tcPr>
          <w:p>
            <w:r>
              <w:rPr>
                <w:rFonts w:ascii="Calibri" w:hAnsi="Calibri"/>
              </w:rPr>
              <w:t>High</w:t>
            </w:r>
          </w:p>
        </w:tc>
        <w:tc>
          <w:tcPr>
            <w:tcW w:type="dxa" w:w="1958"/>
          </w:tcPr>
          <w:p>
            <w:r>
              <w:rPr>
                <w:rFonts w:ascii="Calibri" w:hAnsi="Calibri"/>
              </w:rPr>
              <w:t>FR-07</w:t>
            </w:r>
          </w:p>
        </w:tc>
        <w:tc>
          <w:tcPr>
            <w:tcW w:type="dxa" w:w="1958"/>
          </w:tcPr>
          <w:p>
            <w:r>
              <w:rPr>
                <w:rFonts w:ascii="Calibri" w:hAnsi="Calibri"/>
              </w:rPr>
              <w:t>E-009,E-010</w:t>
            </w:r>
          </w:p>
        </w:tc>
      </w:tr>
      <w:tr>
        <w:tc>
          <w:tcPr>
            <w:tcW w:type="dxa" w:w="1958"/>
            <w:shd w:val="clear" w:color="auto" w:fill="F6F4EC"/>
          </w:tcPr>
          <w:p>
            <w:r>
              <w:rPr>
                <w:rFonts w:ascii="Calibri" w:hAnsi="Calibri"/>
              </w:rPr>
              <w:t>BR-08</w:t>
            </w:r>
          </w:p>
        </w:tc>
        <w:tc>
          <w:tcPr>
            <w:tcW w:type="dxa" w:w="1958"/>
            <w:shd w:val="clear" w:color="auto" w:fill="F6F4EC"/>
          </w:tcPr>
          <w:p>
            <w:r>
              <w:rPr>
                <w:rFonts w:ascii="Calibri" w:hAnsi="Calibri"/>
              </w:rPr>
              <w:t>Retain source evidence IDs for material findings</w:t>
            </w:r>
          </w:p>
        </w:tc>
        <w:tc>
          <w:tcPr>
            <w:tcW w:type="dxa" w:w="1958"/>
            <w:shd w:val="clear" w:color="auto" w:fill="F6F4EC"/>
          </w:tcPr>
          <w:p>
            <w:r>
              <w:rPr>
                <w:rFonts w:ascii="Calibri" w:hAnsi="Calibri"/>
              </w:rPr>
              <w:t>High</w:t>
            </w:r>
          </w:p>
        </w:tc>
        <w:tc>
          <w:tcPr>
            <w:tcW w:type="dxa" w:w="1958"/>
            <w:shd w:val="clear" w:color="auto" w:fill="F6F4EC"/>
          </w:tcPr>
          <w:p>
            <w:r>
              <w:rPr>
                <w:rFonts w:ascii="Calibri" w:hAnsi="Calibri"/>
              </w:rPr>
              <w:t>FR-08</w:t>
            </w:r>
          </w:p>
        </w:tc>
        <w:tc>
          <w:tcPr>
            <w:tcW w:type="dxa" w:w="1958"/>
            <w:shd w:val="clear" w:color="auto" w:fill="F6F4EC"/>
          </w:tcPr>
          <w:p>
            <w:r>
              <w:rPr>
                <w:rFonts w:ascii="Calibri" w:hAnsi="Calibri"/>
              </w:rPr>
              <w:t>E-001–E-010</w:t>
            </w:r>
          </w:p>
        </w:tc>
      </w:tr>
      <w:tr>
        <w:tc>
          <w:tcPr>
            <w:tcW w:type="dxa" w:w="1958"/>
          </w:tcPr>
          <w:p>
            <w:r>
              <w:rPr>
                <w:rFonts w:ascii="Calibri" w:hAnsi="Calibri"/>
              </w:rPr>
              <w:t>BR-09</w:t>
            </w:r>
          </w:p>
        </w:tc>
        <w:tc>
          <w:tcPr>
            <w:tcW w:type="dxa" w:w="1958"/>
          </w:tcPr>
          <w:p>
            <w:r>
              <w:rPr>
                <w:rFonts w:ascii="Calibri" w:hAnsi="Calibri"/>
              </w:rPr>
              <w:t>Identify evidence needed to validate causal explanations</w:t>
            </w:r>
          </w:p>
        </w:tc>
        <w:tc>
          <w:tcPr>
            <w:tcW w:type="dxa" w:w="1958"/>
          </w:tcPr>
          <w:p>
            <w:r>
              <w:rPr>
                <w:rFonts w:ascii="Calibri" w:hAnsi="Calibri"/>
              </w:rPr>
              <w:t>High</w:t>
            </w:r>
          </w:p>
        </w:tc>
        <w:tc>
          <w:tcPr>
            <w:tcW w:type="dxa" w:w="1958"/>
          </w:tcPr>
          <w:p>
            <w:r>
              <w:rPr>
                <w:rFonts w:ascii="Calibri" w:hAnsi="Calibri"/>
              </w:rPr>
              <w:t>FR-09</w:t>
            </w:r>
          </w:p>
        </w:tc>
        <w:tc>
          <w:tcPr>
            <w:tcW w:type="dxa" w:w="1958"/>
          </w:tcPr>
          <w:p>
            <w:r>
              <w:rPr>
                <w:rFonts w:ascii="Calibri" w:hAnsi="Calibri"/>
              </w:rPr>
              <w:t>E-009,E-010</w:t>
            </w:r>
          </w:p>
        </w:tc>
      </w:tr>
      <w:tr>
        <w:tc>
          <w:tcPr>
            <w:tcW w:type="dxa" w:w="1958"/>
            <w:shd w:val="clear" w:color="auto" w:fill="F6F4EC"/>
          </w:tcPr>
          <w:p>
            <w:r>
              <w:rPr>
                <w:rFonts w:ascii="Calibri" w:hAnsi="Calibri"/>
              </w:rPr>
              <w:t>BR-10</w:t>
            </w:r>
          </w:p>
        </w:tc>
        <w:tc>
          <w:tcPr>
            <w:tcW w:type="dxa" w:w="1958"/>
            <w:shd w:val="clear" w:color="auto" w:fill="F6F4EC"/>
          </w:tcPr>
          <w:p>
            <w:r>
              <w:rPr>
                <w:rFonts w:ascii="Calibri" w:hAnsi="Calibri"/>
              </w:rPr>
              <w:t>Provide management-ready analysis outputs</w:t>
            </w:r>
          </w:p>
        </w:tc>
        <w:tc>
          <w:tcPr>
            <w:tcW w:type="dxa" w:w="1958"/>
            <w:shd w:val="clear" w:color="auto" w:fill="F6F4EC"/>
          </w:tcPr>
          <w:p>
            <w:r>
              <w:rPr>
                <w:rFonts w:ascii="Calibri" w:hAnsi="Calibri"/>
              </w:rPr>
              <w:t>Medium</w:t>
            </w:r>
          </w:p>
        </w:tc>
        <w:tc>
          <w:tcPr>
            <w:tcW w:type="dxa" w:w="1958"/>
            <w:shd w:val="clear" w:color="auto" w:fill="F6F4EC"/>
          </w:tcPr>
          <w:p>
            <w:r>
              <w:rPr>
                <w:rFonts w:ascii="Calibri" w:hAnsi="Calibri"/>
              </w:rPr>
              <w:t>FR-10</w:t>
            </w:r>
          </w:p>
        </w:tc>
        <w:tc>
          <w:tcPr>
            <w:tcW w:type="dxa" w:w="1958"/>
            <w:shd w:val="clear" w:color="auto" w:fill="F6F4EC"/>
          </w:tcPr>
          <w:p>
            <w:r>
              <w:rPr>
                <w:rFonts w:ascii="Calibri" w:hAnsi="Calibri"/>
              </w:rPr>
              <w:t>E-001–E-010</w:t>
            </w:r>
          </w:p>
        </w:tc>
      </w:tr>
    </w:tbl>
    <w:p>
      <w:pPr>
        <w:pStyle w:val="Heading1"/>
        <w:pBdr>
          <w:bottom w:val="single" w:sz="6" w:space="4" w:color="C9C2AE"/>
        </w:pBdr>
      </w:pPr>
      <w:r>
        <w:rPr>
          <w:rFonts w:ascii="Georgia" w:hAnsi="Georgia"/>
          <w:color w:val="1F2A24"/>
          <w:sz w:val="21"/>
        </w:rPr>
        <w:t>9. KPI and success measures</w:t>
      </w:r>
    </w:p>
    <w:tbl>
      <w:tblPr>
        <w:tblStyle w:val="TableGrid"/>
        <w:tblW w:type="auto" w:w="0"/>
        <w:jc w:val="center"/>
        <w:tblLook w:firstColumn="1" w:firstRow="1" w:lastColumn="0" w:lastRow="0" w:noHBand="0" w:noVBand="1" w:val="04A0"/>
      </w:tblPr>
      <w:tblGrid>
        <w:gridCol w:w="1958"/>
        <w:gridCol w:w="1958"/>
        <w:gridCol w:w="1958"/>
        <w:gridCol w:w="1958"/>
        <w:gridCol w:w="1958"/>
      </w:tblGrid>
      <w:tr>
        <w:tc>
          <w:tcPr>
            <w:tcW w:type="dxa" w:w="1958"/>
            <w:shd w:val="clear" w:color="auto" w:fill="4B5D3A"/>
          </w:tcPr>
          <w:p>
            <w:r>
              <w:rPr>
                <w:rFonts w:ascii="Calibri" w:hAnsi="Calibri"/>
                <w:b/>
                <w:color w:val="FFFFFF"/>
                <w:sz w:val="19"/>
              </w:rPr>
              <w:t>KPI</w:t>
            </w:r>
          </w:p>
        </w:tc>
        <w:tc>
          <w:tcPr>
            <w:tcW w:type="dxa" w:w="1958"/>
            <w:shd w:val="clear" w:color="auto" w:fill="4B5D3A"/>
          </w:tcPr>
          <w:p>
            <w:r>
              <w:rPr>
                <w:rFonts w:ascii="Calibri" w:hAnsi="Calibri"/>
                <w:b/>
                <w:color w:val="FFFFFF"/>
                <w:sz w:val="19"/>
              </w:rPr>
              <w:t>Baseline</w:t>
            </w:r>
          </w:p>
        </w:tc>
        <w:tc>
          <w:tcPr>
            <w:tcW w:type="dxa" w:w="1958"/>
            <w:shd w:val="clear" w:color="auto" w:fill="4B5D3A"/>
          </w:tcPr>
          <w:p>
            <w:r>
              <w:rPr>
                <w:rFonts w:ascii="Calibri" w:hAnsi="Calibri"/>
                <w:b/>
                <w:color w:val="FFFFFF"/>
                <w:sz w:val="19"/>
              </w:rPr>
              <w:t>Observed movement</w:t>
            </w:r>
          </w:p>
        </w:tc>
        <w:tc>
          <w:tcPr>
            <w:tcW w:type="dxa" w:w="1958"/>
            <w:shd w:val="clear" w:color="auto" w:fill="4B5D3A"/>
          </w:tcPr>
          <w:p>
            <w:r>
              <w:rPr>
                <w:rFonts w:ascii="Calibri" w:hAnsi="Calibri"/>
                <w:b/>
                <w:color w:val="FFFFFF"/>
                <w:sz w:val="19"/>
              </w:rPr>
              <w:t>Target</w:t>
            </w:r>
          </w:p>
        </w:tc>
        <w:tc>
          <w:tcPr>
            <w:tcW w:type="dxa" w:w="1958"/>
            <w:shd w:val="clear" w:color="auto" w:fill="4B5D3A"/>
          </w:tcPr>
          <w:p>
            <w:r>
              <w:rPr>
                <w:rFonts w:ascii="Calibri" w:hAnsi="Calibri"/>
                <w:b/>
                <w:color w:val="FFFFFF"/>
                <w:sz w:val="19"/>
              </w:rPr>
              <w:t>Cadence</w:t>
            </w:r>
          </w:p>
        </w:tc>
      </w:tr>
      <w:tr>
        <w:tc>
          <w:tcPr>
            <w:tcW w:type="dxa" w:w="1958"/>
          </w:tcPr>
          <w:p>
            <w:r>
              <w:rPr>
                <w:rFonts w:ascii="Calibri" w:hAnsi="Calibri"/>
              </w:rPr>
              <w:t>South revenue</w:t>
            </w:r>
          </w:p>
        </w:tc>
        <w:tc>
          <w:tcPr>
            <w:tcW w:type="dxa" w:w="1958"/>
          </w:tcPr>
          <w:p>
            <w:r>
              <w:rPr>
                <w:rFonts w:ascii="Calibri" w:hAnsi="Calibri"/>
              </w:rPr>
              <w:t>₹485,975 → ₹475,859</w:t>
            </w:r>
          </w:p>
        </w:tc>
        <w:tc>
          <w:tcPr>
            <w:tcW w:type="dxa" w:w="1958"/>
          </w:tcPr>
          <w:p>
            <w:r>
              <w:rPr>
                <w:rFonts w:ascii="Calibri" w:hAnsi="Calibri"/>
              </w:rPr>
              <w:t>-2.1%</w:t>
            </w:r>
          </w:p>
        </w:tc>
        <w:tc>
          <w:tcPr>
            <w:tcW w:type="dxa" w:w="1958"/>
          </w:tcPr>
          <w:p>
            <w:r>
              <w:rPr>
                <w:rFonts w:ascii="Calibri" w:hAnsi="Calibri"/>
              </w:rPr>
              <w:t>Target to be approved</w:t>
            </w:r>
          </w:p>
        </w:tc>
        <w:tc>
          <w:tcPr>
            <w:tcW w:type="dxa" w:w="1958"/>
          </w:tcPr>
          <w:p>
            <w:r>
              <w:rPr>
                <w:rFonts w:ascii="Calibri" w:hAnsi="Calibri"/>
              </w:rPr>
              <w:t>Monthly</w:t>
            </w:r>
          </w:p>
        </w:tc>
      </w:tr>
      <w:tr>
        <w:tc>
          <w:tcPr>
            <w:tcW w:type="dxa" w:w="1958"/>
            <w:shd w:val="clear" w:color="auto" w:fill="F6F4EC"/>
          </w:tcPr>
          <w:p>
            <w:r>
              <w:rPr>
                <w:rFonts w:ascii="Calibri" w:hAnsi="Calibri"/>
              </w:rPr>
              <w:t>South SLA</w:t>
            </w:r>
          </w:p>
        </w:tc>
        <w:tc>
          <w:tcPr>
            <w:tcW w:type="dxa" w:w="1958"/>
            <w:shd w:val="clear" w:color="auto" w:fill="F6F4EC"/>
          </w:tcPr>
          <w:p>
            <w:r>
              <w:rPr>
                <w:rFonts w:ascii="Calibri" w:hAnsi="Calibri"/>
              </w:rPr>
              <w:t>81.6% → 71.9%</w:t>
            </w:r>
          </w:p>
        </w:tc>
        <w:tc>
          <w:tcPr>
            <w:tcW w:type="dxa" w:w="1958"/>
            <w:shd w:val="clear" w:color="auto" w:fill="F6F4EC"/>
          </w:tcPr>
          <w:p>
            <w:r>
              <w:rPr>
                <w:rFonts w:ascii="Calibri" w:hAnsi="Calibri"/>
              </w:rPr>
              <w:t>-9.7 pp</w:t>
            </w:r>
          </w:p>
        </w:tc>
        <w:tc>
          <w:tcPr>
            <w:tcW w:type="dxa" w:w="1958"/>
            <w:shd w:val="clear" w:color="auto" w:fill="F6F4EC"/>
          </w:tcPr>
          <w:p>
            <w:r>
              <w:rPr>
                <w:rFonts w:ascii="Calibri" w:hAnsi="Calibri"/>
              </w:rPr>
              <w:t>Target to be approved</w:t>
            </w:r>
          </w:p>
        </w:tc>
        <w:tc>
          <w:tcPr>
            <w:tcW w:type="dxa" w:w="1958"/>
            <w:shd w:val="clear" w:color="auto" w:fill="F6F4EC"/>
          </w:tcPr>
          <w:p>
            <w:r>
              <w:rPr>
                <w:rFonts w:ascii="Calibri" w:hAnsi="Calibri"/>
              </w:rPr>
              <w:t>Weekly</w:t>
            </w:r>
          </w:p>
        </w:tc>
      </w:tr>
      <w:tr>
        <w:tc>
          <w:tcPr>
            <w:tcW w:type="dxa" w:w="1958"/>
          </w:tcPr>
          <w:p>
            <w:r>
              <w:rPr>
                <w:rFonts w:ascii="Calibri" w:hAnsi="Calibri"/>
              </w:rPr>
              <w:t>Support tickets/order</w:t>
            </w:r>
          </w:p>
        </w:tc>
        <w:tc>
          <w:tcPr>
            <w:tcW w:type="dxa" w:w="1958"/>
          </w:tcPr>
          <w:p>
            <w:r>
              <w:rPr>
                <w:rFonts w:ascii="Calibri" w:hAnsi="Calibri"/>
              </w:rPr>
              <w:t>0.075 → 0.099</w:t>
            </w:r>
          </w:p>
        </w:tc>
        <w:tc>
          <w:tcPr>
            <w:tcW w:type="dxa" w:w="1958"/>
          </w:tcPr>
          <w:p>
            <w:r>
              <w:rPr>
                <w:rFonts w:ascii="Calibri" w:hAnsi="Calibri"/>
              </w:rPr>
              <w:t>+32.8%</w:t>
            </w:r>
          </w:p>
        </w:tc>
        <w:tc>
          <w:tcPr>
            <w:tcW w:type="dxa" w:w="1958"/>
          </w:tcPr>
          <w:p>
            <w:r>
              <w:rPr>
                <w:rFonts w:ascii="Calibri" w:hAnsi="Calibri"/>
              </w:rPr>
              <w:t>Target to be approved</w:t>
            </w:r>
          </w:p>
        </w:tc>
        <w:tc>
          <w:tcPr>
            <w:tcW w:type="dxa" w:w="1958"/>
          </w:tcPr>
          <w:p>
            <w:r>
              <w:rPr>
                <w:rFonts w:ascii="Calibri" w:hAnsi="Calibri"/>
              </w:rPr>
              <w:t>Weekly</w:t>
            </w:r>
          </w:p>
        </w:tc>
      </w:tr>
      <w:tr>
        <w:tc>
          <w:tcPr>
            <w:tcW w:type="dxa" w:w="1958"/>
            <w:shd w:val="clear" w:color="auto" w:fill="F6F4EC"/>
          </w:tcPr>
          <w:p>
            <w:r>
              <w:rPr>
                <w:rFonts w:ascii="Calibri" w:hAnsi="Calibri"/>
              </w:rPr>
              <w:t>Cancellations</w:t>
            </w:r>
          </w:p>
        </w:tc>
        <w:tc>
          <w:tcPr>
            <w:tcW w:type="dxa" w:w="1958"/>
            <w:shd w:val="clear" w:color="auto" w:fill="F6F4EC"/>
          </w:tcPr>
          <w:p>
            <w:r>
              <w:rPr>
                <w:rFonts w:ascii="Calibri" w:hAnsi="Calibri"/>
              </w:rPr>
              <w:t>1 recorded</w:t>
            </w:r>
          </w:p>
        </w:tc>
        <w:tc>
          <w:tcPr>
            <w:tcW w:type="dxa" w:w="1958"/>
            <w:shd w:val="clear" w:color="auto" w:fill="F6F4EC"/>
          </w:tcPr>
          <w:p>
            <w:r>
              <w:rPr>
                <w:rFonts w:ascii="Calibri" w:hAnsi="Calibri"/>
              </w:rPr>
              <w:t>Insufficient baseline</w:t>
            </w:r>
          </w:p>
        </w:tc>
        <w:tc>
          <w:tcPr>
            <w:tcW w:type="dxa" w:w="1958"/>
            <w:shd w:val="clear" w:color="auto" w:fill="F6F4EC"/>
          </w:tcPr>
          <w:p>
            <w:r>
              <w:rPr>
                <w:rFonts w:ascii="Calibri" w:hAnsi="Calibri"/>
              </w:rPr>
              <w:t>Define after richer data</w:t>
            </w:r>
          </w:p>
        </w:tc>
        <w:tc>
          <w:tcPr>
            <w:tcW w:type="dxa" w:w="1958"/>
            <w:shd w:val="clear" w:color="auto" w:fill="F6F4EC"/>
          </w:tcPr>
          <w:p>
            <w:r>
              <w:rPr>
                <w:rFonts w:ascii="Calibri" w:hAnsi="Calibri"/>
              </w:rPr>
              <w:t>Monthly</w:t>
            </w:r>
          </w:p>
        </w:tc>
      </w:tr>
    </w:tbl>
    <w:p>
      <w:pPr>
        <w:pStyle w:val="Heading1"/>
        <w:pBdr>
          <w:bottom w:val="single" w:sz="6" w:space="4" w:color="C9C2AE"/>
        </w:pBdr>
      </w:pPr>
      <w:r>
        <w:rPr>
          <w:rFonts w:ascii="Georgia" w:hAnsi="Georgia"/>
          <w:color w:val="1F2A24"/>
          <w:sz w:val="21"/>
        </w:rPr>
        <w:t>10. Business rules and constraints</w:t>
      </w:r>
    </w:p>
    <w:p>
      <w:pPr>
        <w:pStyle w:val="ListBullet"/>
      </w:pPr>
      <w:r>
        <w:rPr>
          <w:rFonts w:ascii="Calibri" w:hAnsi="Calibri"/>
          <w:sz w:val="21"/>
        </w:rPr>
        <w:t>Use Q3→Q4 as the primary executive comparison in this case study.</w:t>
      </w:r>
    </w:p>
    <w:p>
      <w:pPr>
        <w:pStyle w:val="ListBullet"/>
      </w:pPr>
      <w:r>
        <w:rPr>
          <w:rFonts w:ascii="Calibri" w:hAnsi="Calibri"/>
          <w:sz w:val="21"/>
        </w:rPr>
        <w:t>Use later periods only as monitoring context, not as a substitute for the primary business comparison.</w:t>
      </w:r>
    </w:p>
    <w:p>
      <w:pPr>
        <w:pStyle w:val="ListBullet"/>
      </w:pPr>
      <w:r>
        <w:rPr>
          <w:rFonts w:ascii="Calibri" w:hAnsi="Calibri"/>
          <w:sz w:val="21"/>
        </w:rPr>
        <w:t>A relationship between service and cancellation is not causal until customer/order-level linkage is available.</w:t>
      </w:r>
    </w:p>
    <w:p>
      <w:pPr>
        <w:pStyle w:val="ListBullet"/>
      </w:pPr>
      <w:r>
        <w:rPr>
          <w:rFonts w:ascii="Calibri" w:hAnsi="Calibri"/>
          <w:sz w:val="21"/>
        </w:rPr>
        <w:t>Business targets and financial benefits require explicit approval or source evidence.</w:t>
      </w:r>
    </w:p>
    <w:p>
      <w:pPr>
        <w:pStyle w:val="Heading1"/>
        <w:pBdr>
          <w:bottom w:val="single" w:sz="6" w:space="4" w:color="C9C2AE"/>
        </w:pBdr>
      </w:pPr>
      <w:r>
        <w:rPr>
          <w:rFonts w:ascii="Georgia" w:hAnsi="Georgia"/>
          <w:color w:val="1F2A24"/>
          <w:sz w:val="21"/>
        </w:rPr>
        <w:t>11. Open questions</w:t>
      </w:r>
    </w:p>
    <w:p>
      <w:pPr>
        <w:pStyle w:val="ListBullet"/>
      </w:pPr>
      <w:r>
        <w:rPr>
          <w:rFonts w:ascii="Calibri" w:hAnsi="Calibri"/>
          <w:sz w:val="21"/>
        </w:rPr>
        <w:t>Do customers with SLA breaches cancel at a higher rate?</w:t>
      </w:r>
    </w:p>
    <w:p>
      <w:pPr>
        <w:pStyle w:val="ListBullet"/>
      </w:pPr>
      <w:r>
        <w:rPr>
          <w:rFonts w:ascii="Calibri" w:hAnsi="Calibri"/>
          <w:sz w:val="21"/>
        </w:rPr>
        <w:t>Which South products contribute the largest absolute revenue loss?</w:t>
      </w:r>
    </w:p>
    <w:p>
      <w:pPr>
        <w:pStyle w:val="ListBullet"/>
      </w:pPr>
      <w:r>
        <w:rPr>
          <w:rFonts w:ascii="Calibri" w:hAnsi="Calibri"/>
          <w:sz w:val="21"/>
        </w:rPr>
        <w:t>Do support events precede cancellation events?</w:t>
      </w:r>
    </w:p>
    <w:p>
      <w:pPr>
        <w:pStyle w:val="ListBullet"/>
      </w:pPr>
      <w:r>
        <w:rPr>
          <w:rFonts w:ascii="Calibri" w:hAnsi="Calibri"/>
          <w:sz w:val="21"/>
        </w:rPr>
        <w:t>Is the decline operational, product-specific, channel-specific, segment-specific, or combined?</w:t>
      </w:r>
    </w:p>
    <w:p>
      <w:pPr>
        <w:pStyle w:val="Heading1"/>
        <w:pBdr>
          <w:bottom w:val="single" w:sz="6" w:space="4" w:color="C9C2AE"/>
        </w:pBdr>
      </w:pPr>
      <w:r>
        <w:rPr>
          <w:rFonts w:ascii="Georgia" w:hAnsi="Georgia"/>
          <w:color w:val="1F2A24"/>
          <w:sz w:val="21"/>
        </w:rPr>
        <w:t>12. Approval</w:t>
      </w:r>
    </w:p>
    <w:tbl>
      <w:tblPr>
        <w:tblStyle w:val="TableGrid"/>
        <w:tblW w:type="auto" w:w="0"/>
        <w:jc w:val="center"/>
        <w:tblLook w:firstColumn="1" w:firstRow="1" w:lastColumn="0" w:lastRow="0" w:noHBand="0" w:noVBand="1" w:val="04A0"/>
      </w:tblPr>
      <w:tblGrid>
        <w:gridCol w:w="3264"/>
        <w:gridCol w:w="3264"/>
        <w:gridCol w:w="3264"/>
      </w:tblGrid>
      <w:tr>
        <w:tc>
          <w:tcPr>
            <w:tcW w:type="dxa" w:w="3264"/>
            <w:shd w:val="clear" w:color="auto" w:fill="4B5D3A"/>
          </w:tcPr>
          <w:p>
            <w:r>
              <w:rPr>
                <w:rFonts w:ascii="Calibri" w:hAnsi="Calibri"/>
                <w:b/>
                <w:color w:val="FFFFFF"/>
                <w:sz w:val="19"/>
              </w:rPr>
              <w:t>Role</w:t>
            </w:r>
          </w:p>
        </w:tc>
        <w:tc>
          <w:tcPr>
            <w:tcW w:type="dxa" w:w="3264"/>
            <w:shd w:val="clear" w:color="auto" w:fill="4B5D3A"/>
          </w:tcPr>
          <w:p>
            <w:r>
              <w:rPr>
                <w:rFonts w:ascii="Calibri" w:hAnsi="Calibri"/>
                <w:b/>
                <w:color w:val="FFFFFF"/>
                <w:sz w:val="19"/>
              </w:rPr>
              <w:t>Name</w:t>
            </w:r>
          </w:p>
        </w:tc>
        <w:tc>
          <w:tcPr>
            <w:tcW w:type="dxa" w:w="3264"/>
            <w:shd w:val="clear" w:color="auto" w:fill="4B5D3A"/>
          </w:tcPr>
          <w:p>
            <w:r>
              <w:rPr>
                <w:rFonts w:ascii="Calibri" w:hAnsi="Calibri"/>
                <w:b/>
                <w:color w:val="FFFFFF"/>
                <w:sz w:val="19"/>
              </w:rPr>
              <w:t>Status</w:t>
            </w:r>
          </w:p>
        </w:tc>
      </w:tr>
      <w:tr>
        <w:tc>
          <w:tcPr>
            <w:tcW w:type="dxa" w:w="3264"/>
          </w:tcPr>
          <w:p>
            <w:r>
              <w:rPr>
                <w:rFonts w:ascii="Calibri" w:hAnsi="Calibri"/>
              </w:rPr>
              <w:t>Business Owner</w:t>
            </w:r>
          </w:p>
        </w:tc>
        <w:tc>
          <w:tcPr>
            <w:tcW w:type="dxa" w:w="3264"/>
          </w:tcPr>
          <w:p>
            <w:r>
              <w:rPr>
                <w:rFonts w:ascii="Calibri" w:hAnsi="Calibri"/>
              </w:rPr>
            </w:r>
          </w:p>
        </w:tc>
        <w:tc>
          <w:tcPr>
            <w:tcW w:type="dxa" w:w="3264"/>
          </w:tcPr>
          <w:p>
            <w:r>
              <w:rPr>
                <w:rFonts w:ascii="Calibri" w:hAnsi="Calibri"/>
              </w:rPr>
              <w:t>Pending</w:t>
            </w:r>
          </w:p>
        </w:tc>
      </w:tr>
      <w:tr>
        <w:tc>
          <w:tcPr>
            <w:tcW w:type="dxa" w:w="3264"/>
            <w:shd w:val="clear" w:color="auto" w:fill="F6F4EC"/>
          </w:tcPr>
          <w:p>
            <w:r>
              <w:rPr>
                <w:rFonts w:ascii="Calibri" w:hAnsi="Calibri"/>
              </w:rPr>
              <w:t>Operations Owner</w:t>
            </w:r>
          </w:p>
        </w:tc>
        <w:tc>
          <w:tcPr>
            <w:tcW w:type="dxa" w:w="3264"/>
            <w:shd w:val="clear" w:color="auto" w:fill="F6F4EC"/>
          </w:tcPr>
          <w:p>
            <w:r>
              <w:rPr>
                <w:rFonts w:ascii="Calibri" w:hAnsi="Calibri"/>
              </w:rPr>
            </w:r>
          </w:p>
        </w:tc>
        <w:tc>
          <w:tcPr>
            <w:tcW w:type="dxa" w:w="3264"/>
            <w:shd w:val="clear" w:color="auto" w:fill="F6F4EC"/>
          </w:tcPr>
          <w:p>
            <w:r>
              <w:rPr>
                <w:rFonts w:ascii="Calibri" w:hAnsi="Calibri"/>
              </w:rPr>
              <w:t>Pending</w:t>
            </w:r>
          </w:p>
        </w:tc>
      </w:tr>
      <w:tr>
        <w:tc>
          <w:tcPr>
            <w:tcW w:type="dxa" w:w="3264"/>
          </w:tcPr>
          <w:p>
            <w:r>
              <w:rPr>
                <w:rFonts w:ascii="Calibri" w:hAnsi="Calibri"/>
              </w:rPr>
              <w:t>Customer Success Owner</w:t>
            </w:r>
          </w:p>
        </w:tc>
        <w:tc>
          <w:tcPr>
            <w:tcW w:type="dxa" w:w="3264"/>
          </w:tcPr>
          <w:p>
            <w:r>
              <w:rPr>
                <w:rFonts w:ascii="Calibri" w:hAnsi="Calibri"/>
              </w:rPr>
            </w:r>
          </w:p>
        </w:tc>
        <w:tc>
          <w:tcPr>
            <w:tcW w:type="dxa" w:w="3264"/>
          </w:tcPr>
          <w:p>
            <w:r>
              <w:rPr>
                <w:rFonts w:ascii="Calibri" w:hAnsi="Calibri"/>
              </w:rPr>
              <w:t>Pending</w:t>
            </w:r>
          </w:p>
        </w:tc>
      </w:tr>
      <w:tr>
        <w:tc>
          <w:tcPr>
            <w:tcW w:type="dxa" w:w="3264"/>
            <w:shd w:val="clear" w:color="auto" w:fill="F6F4EC"/>
          </w:tcPr>
          <w:p>
            <w:r>
              <w:rPr>
                <w:rFonts w:ascii="Calibri" w:hAnsi="Calibri"/>
              </w:rPr>
              <w:t>Analytics / BA</w:t>
            </w:r>
          </w:p>
        </w:tc>
        <w:tc>
          <w:tcPr>
            <w:tcW w:type="dxa" w:w="3264"/>
            <w:shd w:val="clear" w:color="auto" w:fill="F6F4EC"/>
          </w:tcPr>
          <w:p>
            <w:r>
              <w:rPr>
                <w:rFonts w:ascii="Calibri" w:hAnsi="Calibri"/>
              </w:rPr>
            </w:r>
          </w:p>
        </w:tc>
        <w:tc>
          <w:tcPr>
            <w:tcW w:type="dxa" w:w="3264"/>
            <w:shd w:val="clear" w:color="auto" w:fill="F6F4EC"/>
          </w:tcPr>
          <w:p>
            <w:r>
              <w:rPr>
                <w:rFonts w:ascii="Calibri" w:hAnsi="Calibri"/>
              </w:rPr>
              <w:t>Pending</w:t>
            </w:r>
          </w:p>
        </w:tc>
      </w:tr>
    </w:tbl>
    <w:sectPr w:rsidR="00FC693F" w:rsidRPr="0006063C" w:rsidSect="00034616">
      <w:headerReference w:type="default" r:id="rId9"/>
      <w:footerReference w:type="default" r:id="rId10"/>
      <w:headerReference w:type="first" r:id="rId11"/>
      <w:footerReference w:type="first" r:id="rId12"/>
      <w:pgSz w:w="12240" w:h="15840"/>
      <w:pgMar w:top="1080" w:right="1224" w:bottom="1080"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16F67"/>
        <w:sz w:val="16"/>
      </w:rPr>
      <w:t xml:space="preserve">Prepared with BizLens — evidence-based business analysis   |   Page </w:t>
    </w:r>
    <w:r>
      <w:fldChar w:fldCharType="begin"/>
      <w:instrText xml:space="preserve">PAGE</w:instrText>
      <w:fldChar w:fldCharType="separate"/>
      <w:t/>
      <w:fldChar w:fldCharType="end"/>
    </w:r>
    <w:r>
      <w:rPr>
        <w:color w:val="716F67"/>
        <w:sz w:val="16"/>
      </w:rPr>
      <w:t xml:space="preserve"> of </w:t>
    </w:r>
    <w:r>
      <w:fldChar w:fldCharType="begin"/>
      <w:instrText xml:space="preserve">NUMPAGES</w:instrText>
      <w:fldChar w:fldCharType="separate"/>
      <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4" w:color="C9C2AE"/>
      </w:pBdr>
      <w:jc w:val="right"/>
    </w:pPr>
    <w:r>
      <w:rPr>
        <w:color w:val="716F67"/>
        <w:sz w:val="17"/>
      </w:rPr>
      <w:t>02 BRD</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