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pBdr>
          <w:bottom w:val="single" w:sz="10" w:space="4" w:color="4B5D3A"/>
        </w:pBdr>
        <w:jc w:val="center"/>
      </w:pPr>
    </w:p>
    <w:p>
      <w:pPr>
        <w:jc w:val="center"/>
      </w:pPr>
      <w:r>
        <w:rPr>
          <w:rFonts w:ascii="Georgia" w:hAnsi="Georgia"/>
          <w:b/>
          <w:color w:val="1F2A24"/>
          <w:sz w:val="56"/>
        </w:rPr>
        <w:t>03 PRD</w:t>
      </w:r>
    </w:p>
    <w:p>
      <w:pPr>
        <w:jc w:val="center"/>
      </w:pPr>
      <w:r>
        <w:rPr>
          <w:rFonts w:ascii="Calibri" w:hAnsi="Calibri"/>
          <w:color w:val="4B5D3A"/>
          <w:sz w:val="26"/>
        </w:rPr>
        <w:t>Business Analysis Deliverable</w:t>
      </w:r>
    </w:p>
    <w:p>
      <w:pPr>
        <w:pBdr>
          <w:bottom w:val="single" w:sz="10" w:space="4" w:color="4B5D3A"/>
        </w:pBdr>
        <w:jc w:val="center"/>
      </w:pPr>
    </w:p>
    <w:p/>
    <w:p>
      <w:pPr>
        <w:jc w:val="center"/>
      </w:pPr>
      <w:r>
        <w:rPr>
          <w:rFonts w:ascii="Calibri" w:hAnsi="Calibri"/>
          <w:color w:val="5B584F"/>
          <w:sz w:val="21"/>
        </w:rPr>
        <w:t>Prepared: 12 September 2026</w:t>
      </w:r>
    </w:p>
    <w:p>
      <w:pPr>
        <w:jc w:val="center"/>
      </w:pPr>
      <w:r>
        <w:rPr>
          <w:rFonts w:ascii="Calibri" w:hAnsi="Calibri"/>
          <w:color w:val="5B584F"/>
          <w:sz w:val="21"/>
        </w:rPr>
        <w:t>Status: Final portfolio case study</w:t>
      </w:r>
    </w:p>
    <w:p>
      <w:pPr>
        <w:jc w:val="center"/>
      </w:pPr>
      <w:r>
        <w:rPr>
          <w:rFonts w:ascii="Calibri" w:hAnsi="Calibri"/>
          <w:color w:val="5B584F"/>
          <w:sz w:val="21"/>
        </w:rPr>
        <w:t>Classification: Business Confidential — internal use</w:t>
      </w:r>
    </w:p>
    <w:p>
      <w:r>
        <w:rPr>
          <w:rFonts w:ascii="Calibri" w:hAnsi="Calibri"/>
          <w:sz w:val="21"/>
        </w:rPr>
        <w:br w:type="page"/>
      </w:r>
    </w:p>
    <w:p>
      <w:pPr>
        <w:pStyle w:val="Heading1"/>
        <w:pBdr>
          <w:bottom w:val="single" w:sz="6" w:space="4" w:color="C9C2AE"/>
        </w:pBdr>
      </w:pPr>
      <w:r>
        <w:rPr>
          <w:rFonts w:ascii="Georgia" w:hAnsi="Georgia"/>
          <w:color w:val="1F2A24"/>
          <w:sz w:val="21"/>
        </w:rPr>
        <w:t>Contents</w:t>
      </w:r>
    </w:p>
    <w:p>
      <w:pPr>
        <w:pStyle w:val="ListBullet"/>
      </w:pPr>
      <w:r>
        <w:rPr>
          <w:rFonts w:ascii="Calibri" w:hAnsi="Calibri"/>
          <w:color w:val="3A3830"/>
          <w:sz w:val="21"/>
        </w:rPr>
        <w:t>Document control</w:t>
      </w:r>
    </w:p>
    <w:p>
      <w:pPr>
        <w:pStyle w:val="ListBullet"/>
      </w:pPr>
      <w:r>
        <w:rPr>
          <w:rFonts w:ascii="Calibri" w:hAnsi="Calibri"/>
          <w:color w:val="3A3830"/>
          <w:sz w:val="21"/>
        </w:rPr>
        <w:t>1. Product overview</w:t>
      </w:r>
    </w:p>
    <w:p>
      <w:pPr>
        <w:pStyle w:val="ListBullet"/>
      </w:pPr>
      <w:r>
        <w:rPr>
          <w:rFonts w:ascii="Calibri" w:hAnsi="Calibri"/>
          <w:color w:val="3A3830"/>
          <w:sz w:val="21"/>
        </w:rPr>
        <w:t>2. User problem</w:t>
      </w:r>
    </w:p>
    <w:p>
      <w:pPr>
        <w:pStyle w:val="ListBullet"/>
      </w:pPr>
      <w:r>
        <w:rPr>
          <w:rFonts w:ascii="Calibri" w:hAnsi="Calibri"/>
          <w:color w:val="3A3830"/>
          <w:sz w:val="21"/>
        </w:rPr>
        <w:t>3. Target users</w:t>
      </w:r>
    </w:p>
    <w:p>
      <w:pPr>
        <w:pStyle w:val="ListBullet"/>
      </w:pPr>
      <w:r>
        <w:rPr>
          <w:rFonts w:ascii="Calibri" w:hAnsi="Calibri"/>
          <w:color w:val="3A3830"/>
          <w:sz w:val="21"/>
        </w:rPr>
        <w:t>4. Product outcomes</w:t>
      </w:r>
    </w:p>
    <w:p>
      <w:pPr>
        <w:pStyle w:val="ListBullet"/>
      </w:pPr>
      <w:r>
        <w:rPr>
          <w:rFonts w:ascii="Calibri" w:hAnsi="Calibri"/>
          <w:color w:val="3A3830"/>
          <w:sz w:val="21"/>
        </w:rPr>
        <w:t>5. Core journey</w:t>
      </w:r>
    </w:p>
    <w:p>
      <w:pPr>
        <w:pStyle w:val="ListBullet"/>
      </w:pPr>
      <w:r>
        <w:rPr>
          <w:rFonts w:ascii="Calibri" w:hAnsi="Calibri"/>
          <w:color w:val="3A3830"/>
          <w:sz w:val="21"/>
        </w:rPr>
        <w:t>6. Product requirements</w:t>
      </w:r>
    </w:p>
    <w:p>
      <w:pPr>
        <w:pStyle w:val="ListBullet"/>
      </w:pPr>
      <w:r>
        <w:rPr>
          <w:rFonts w:ascii="Calibri" w:hAnsi="Calibri"/>
          <w:color w:val="3A3830"/>
          <w:sz w:val="21"/>
        </w:rPr>
        <w:t>7. Non-goals</w:t>
      </w:r>
    </w:p>
    <w:p>
      <w:pPr>
        <w:pStyle w:val="ListBullet"/>
      </w:pPr>
      <w:r>
        <w:rPr>
          <w:rFonts w:ascii="Calibri" w:hAnsi="Calibri"/>
          <w:color w:val="3A3830"/>
          <w:sz w:val="21"/>
        </w:rPr>
        <w:t>8. Success criteria</w:t>
      </w:r>
    </w:p>
    <w:p>
      <w:pPr>
        <w:pStyle w:val="ListBullet"/>
      </w:pPr>
      <w:r>
        <w:rPr>
          <w:rFonts w:ascii="Calibri" w:hAnsi="Calibri"/>
          <w:color w:val="3A3830"/>
          <w:sz w:val="21"/>
        </w:rPr>
        <w:t>9. Release approach</w:t>
      </w:r>
    </w:p>
    <w:p>
      <w:r>
        <w:rPr>
          <w:rFonts w:ascii="Calibri" w:hAnsi="Calibri"/>
          <w:sz w:val="21"/>
        </w:rPr>
        <w:br w:type="page"/>
      </w:r>
    </w:p>
    <w:p>
      <w:pPr>
        <w:pStyle w:val="Heading1"/>
        <w:pBdr>
          <w:bottom w:val="single" w:sz="6" w:space="4" w:color="C9C2AE"/>
        </w:pBdr>
      </w:pPr>
      <w:r>
        <w:rPr>
          <w:rFonts w:ascii="Georgia" w:hAnsi="Georgia"/>
          <w:color w:val="1F2A24"/>
          <w:sz w:val="21"/>
        </w:rPr>
        <w:t>Document control</w:t>
      </w:r>
    </w:p>
    <w:p>
      <w:r>
        <w:rPr>
          <w:rFonts w:ascii="Calibri" w:hAnsi="Calibri"/>
          <w:sz w:val="21"/>
        </w:rPr>
        <w:t>Document ID: PRD-001</w:t>
      </w:r>
    </w:p>
    <w:p>
      <w:r>
        <w:rPr>
          <w:rFonts w:ascii="Calibri" w:hAnsi="Calibri"/>
          <w:sz w:val="21"/>
        </w:rPr>
        <w:t>Version: 3.0</w:t>
      </w:r>
    </w:p>
    <w:p>
      <w:r>
        <w:rPr>
          <w:rFonts w:ascii="Calibri" w:hAnsi="Calibri"/>
          <w:sz w:val="21"/>
        </w:rPr>
        <w:t>Status: Final portfolio case study</w:t>
      </w:r>
    </w:p>
    <w:p>
      <w:r>
        <w:rPr>
          <w:rFonts w:ascii="Calibri" w:hAnsi="Calibri"/>
          <w:sz w:val="21"/>
        </w:rPr>
        <w:t>Business objective: Understand why revenue performance weakened in Q4, identify the regions, products and customer segments requiring management attention, and agree actions that can improve retention and delivery performance.</w:t>
      </w:r>
    </w:p>
    <w:p>
      <w:pPr>
        <w:pStyle w:val="Heading1"/>
        <w:pBdr>
          <w:bottom w:val="single" w:sz="6" w:space="4" w:color="C9C2AE"/>
        </w:pBdr>
      </w:pPr>
      <w:r>
        <w:rPr>
          <w:rFonts w:ascii="Georgia" w:hAnsi="Georgia"/>
          <w:color w:val="1F2A24"/>
          <w:sz w:val="21"/>
        </w:rPr>
        <w:t>1. Product overview</w:t>
      </w:r>
    </w:p>
    <w:p>
      <w:r>
        <w:rPr>
          <w:rFonts w:ascii="Calibri" w:hAnsi="Calibri"/>
          <w:sz w:val="21"/>
        </w:rPr>
        <w:t>BizLens is an evidence-first Business Analysis workspace. It connects business documents and structured data, quantifies changes, frames investigation hypotheses, identifies evidence gaps, supports recommendations and exports professional BA artefacts.</w:t>
      </w:r>
    </w:p>
    <w:p>
      <w:pPr>
        <w:pStyle w:val="Heading1"/>
        <w:pBdr>
          <w:bottom w:val="single" w:sz="6" w:space="4" w:color="C9C2AE"/>
        </w:pBdr>
      </w:pPr>
      <w:r>
        <w:rPr>
          <w:rFonts w:ascii="Georgia" w:hAnsi="Georgia"/>
          <w:color w:val="1F2A24"/>
          <w:sz w:val="21"/>
        </w:rPr>
        <w:t>2. User problem</w:t>
      </w:r>
    </w:p>
    <w:p>
      <w:r>
        <w:rPr>
          <w:rFonts w:ascii="Calibri" w:hAnsi="Calibri"/>
          <w:sz w:val="21"/>
        </w:rPr>
        <w:t>A dashboard can show that performance changed without explaining where management should focus, what evidence supports the finding, what remains unknown, and what action should follow. BizLens is designed to bridge that gap.</w:t>
      </w:r>
    </w:p>
    <w:p>
      <w:pPr>
        <w:pStyle w:val="Heading1"/>
        <w:pBdr>
          <w:bottom w:val="single" w:sz="6" w:space="4" w:color="C9C2AE"/>
        </w:pBdr>
      </w:pPr>
      <w:r>
        <w:rPr>
          <w:rFonts w:ascii="Georgia" w:hAnsi="Georgia"/>
          <w:color w:val="1F2A24"/>
          <w:sz w:val="21"/>
        </w:rPr>
        <w:t>3. Target users</w:t>
      </w:r>
    </w:p>
    <w:p>
      <w:pPr>
        <w:pStyle w:val="ListBullet"/>
      </w:pPr>
      <w:r>
        <w:rPr>
          <w:rFonts w:ascii="Calibri" w:hAnsi="Calibri"/>
          <w:sz w:val="21"/>
        </w:rPr>
        <w:t>Management / business decision makers</w:t>
      </w:r>
    </w:p>
    <w:p>
      <w:pPr>
        <w:pStyle w:val="ListBullet"/>
      </w:pPr>
      <w:r>
        <w:rPr>
          <w:rFonts w:ascii="Calibri" w:hAnsi="Calibri"/>
          <w:sz w:val="21"/>
        </w:rPr>
        <w:t>Operations and service owners</w:t>
      </w:r>
    </w:p>
    <w:p>
      <w:pPr>
        <w:pStyle w:val="ListBullet"/>
      </w:pPr>
      <w:r>
        <w:rPr>
          <w:rFonts w:ascii="Calibri" w:hAnsi="Calibri"/>
          <w:sz w:val="21"/>
        </w:rPr>
        <w:t>Customer Success and retention teams</w:t>
      </w:r>
    </w:p>
    <w:p>
      <w:pPr>
        <w:pStyle w:val="ListBullet"/>
      </w:pPr>
      <w:r>
        <w:rPr>
          <w:rFonts w:ascii="Calibri" w:hAnsi="Calibri"/>
          <w:sz w:val="21"/>
        </w:rPr>
        <w:t>Sales and Product stakeholders</w:t>
      </w:r>
    </w:p>
    <w:p>
      <w:pPr>
        <w:pStyle w:val="ListBullet"/>
      </w:pPr>
      <w:r>
        <w:rPr>
          <w:rFonts w:ascii="Calibri" w:hAnsi="Calibri"/>
          <w:sz w:val="21"/>
        </w:rPr>
        <w:t>Business Analysts / Analytics teams</w:t>
      </w:r>
    </w:p>
    <w:p>
      <w:pPr>
        <w:pStyle w:val="Heading1"/>
        <w:pBdr>
          <w:bottom w:val="single" w:sz="6" w:space="4" w:color="C9C2AE"/>
        </w:pBdr>
      </w:pPr>
      <w:r>
        <w:rPr>
          <w:rFonts w:ascii="Georgia" w:hAnsi="Georgia"/>
          <w:color w:val="1F2A24"/>
          <w:sz w:val="21"/>
        </w:rPr>
        <w:t>4. Product outcomes</w:t>
      </w:r>
    </w:p>
    <w:p>
      <w:pPr>
        <w:pStyle w:val="ListBullet"/>
      </w:pPr>
      <w:r>
        <w:rPr>
          <w:rFonts w:ascii="Calibri" w:hAnsi="Calibri"/>
          <w:sz w:val="21"/>
        </w:rPr>
        <w:t>A reviewer can understand the business problem and priority area quickly.</w:t>
      </w:r>
    </w:p>
    <w:p>
      <w:pPr>
        <w:pStyle w:val="ListBullet"/>
      </w:pPr>
      <w:r>
        <w:rPr>
          <w:rFonts w:ascii="Calibri" w:hAnsi="Calibri"/>
          <w:sz w:val="21"/>
        </w:rPr>
        <w:t>Quantitative findings remain period-aligned and traceable.</w:t>
      </w:r>
    </w:p>
    <w:p>
      <w:pPr>
        <w:pStyle w:val="ListBullet"/>
      </w:pPr>
      <w:r>
        <w:rPr>
          <w:rFonts w:ascii="Calibri" w:hAnsi="Calibri"/>
          <w:sz w:val="21"/>
        </w:rPr>
        <w:t>Hypotheses are not presented as confirmed causes.</w:t>
      </w:r>
    </w:p>
    <w:p>
      <w:pPr>
        <w:pStyle w:val="ListBullet"/>
      </w:pPr>
      <w:r>
        <w:rPr>
          <w:rFonts w:ascii="Calibri" w:hAnsi="Calibri"/>
          <w:sz w:val="21"/>
        </w:rPr>
        <w:t>Recommendations identify action, owner status, measure, dependency and evidence.</w:t>
      </w:r>
    </w:p>
    <w:p>
      <w:pPr>
        <w:pStyle w:val="ListBullet"/>
      </w:pPr>
      <w:r>
        <w:rPr>
          <w:rFonts w:ascii="Calibri" w:hAnsi="Calibri"/>
          <w:sz w:val="21"/>
        </w:rPr>
        <w:t>BA deliverables remain coherent across BRD, FRD, UAT and RTM.</w:t>
      </w:r>
    </w:p>
    <w:p>
      <w:pPr>
        <w:pStyle w:val="Heading1"/>
        <w:pBdr>
          <w:bottom w:val="single" w:sz="6" w:space="4" w:color="C9C2AE"/>
        </w:pBdr>
      </w:pPr>
      <w:r>
        <w:rPr>
          <w:rFonts w:ascii="Georgia" w:hAnsi="Georgia"/>
          <w:color w:val="1F2A24"/>
          <w:sz w:val="21"/>
        </w:rPr>
        <w:t>5. Core journey</w:t>
      </w:r>
    </w:p>
    <w:p>
      <w:r>
        <w:rPr>
          <w:rFonts w:ascii="Calibri" w:hAnsi="Calibri"/>
          <w:sz w:val="21"/>
        </w:rPr>
        <w:t>Understand context → connect evidence → establish baseline → compare aligned periods → identify priority area → decompose drivers → validate hypotheses → identify gaps → decide → deliver → monitor.</w:t>
      </w:r>
    </w:p>
    <w:p>
      <w:pPr>
        <w:pStyle w:val="Heading1"/>
        <w:pBdr>
          <w:bottom w:val="single" w:sz="6" w:space="4" w:color="C9C2AE"/>
        </w:pBdr>
      </w:pPr>
      <w:r>
        <w:rPr>
          <w:rFonts w:ascii="Georgia" w:hAnsi="Georgia"/>
          <w:color w:val="1F2A24"/>
          <w:sz w:val="21"/>
        </w:rPr>
        <w:t>6. Product requirements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val="clear" w:color="auto" w:fill="4B5D3A"/>
          </w:tcPr>
          <w:p>
            <w:r>
              <w:rPr>
                <w:rFonts w:ascii="Calibri" w:hAnsi="Calibri"/>
                <w:b/>
                <w:color w:val="FFFFFF"/>
                <w:sz w:val="19"/>
              </w:rPr>
              <w:t>ID</w:t>
            </w:r>
          </w:p>
        </w:tc>
        <w:tc>
          <w:tcPr>
            <w:tcW w:type="dxa" w:w="2448"/>
            <w:shd w:val="clear" w:color="auto" w:fill="4B5D3A"/>
          </w:tcPr>
          <w:p>
            <w:r>
              <w:rPr>
                <w:rFonts w:ascii="Calibri" w:hAnsi="Calibri"/>
                <w:b/>
                <w:color w:val="FFFFFF"/>
                <w:sz w:val="19"/>
              </w:rPr>
              <w:t>Product capability</w:t>
            </w:r>
          </w:p>
        </w:tc>
        <w:tc>
          <w:tcPr>
            <w:tcW w:type="dxa" w:w="2448"/>
            <w:shd w:val="clear" w:color="auto" w:fill="4B5D3A"/>
          </w:tcPr>
          <w:p>
            <w:r>
              <w:rPr>
                <w:rFonts w:ascii="Calibri" w:hAnsi="Calibri"/>
                <w:b/>
                <w:color w:val="FFFFFF"/>
                <w:sz w:val="19"/>
              </w:rPr>
              <w:t>Priority</w:t>
            </w:r>
          </w:p>
        </w:tc>
        <w:tc>
          <w:tcPr>
            <w:tcW w:type="dxa" w:w="2448"/>
            <w:shd w:val="clear" w:color="auto" w:fill="4B5D3A"/>
          </w:tcPr>
          <w:p>
            <w:r>
              <w:rPr>
                <w:rFonts w:ascii="Calibri" w:hAnsi="Calibri"/>
                <w:b/>
                <w:color w:val="FFFFFF"/>
                <w:sz w:val="19"/>
              </w:rPr>
              <w:t>Primary area</w:t>
            </w:r>
          </w:p>
        </w:tc>
      </w:tr>
      <w:tr>
        <w:tc>
          <w:tcPr>
            <w:tcW w:type="dxa" w:w="2448"/>
          </w:tcPr>
          <w:p>
            <w:r>
              <w:rPr>
                <w:rFonts w:ascii="Calibri" w:hAnsi="Calibri"/>
              </w:rPr>
              <w:t>P-01</w:t>
            </w:r>
          </w:p>
        </w:tc>
        <w:tc>
          <w:tcPr>
            <w:tcW w:type="dxa" w:w="2448"/>
          </w:tcPr>
          <w:p>
            <w:r>
              <w:rPr>
                <w:rFonts w:ascii="Calibri" w:hAnsi="Calibri"/>
              </w:rPr>
              <w:t>Evidence ingestion and source register</w:t>
            </w:r>
          </w:p>
        </w:tc>
        <w:tc>
          <w:tcPr>
            <w:tcW w:type="dxa" w:w="2448"/>
          </w:tcPr>
          <w:p>
            <w:r>
              <w:rPr>
                <w:rFonts w:ascii="Calibri" w:hAnsi="Calibri"/>
              </w:rPr>
              <w:t>High</w:t>
            </w:r>
          </w:p>
        </w:tc>
        <w:tc>
          <w:tcPr>
            <w:tcW w:type="dxa" w:w="2448"/>
          </w:tcPr>
          <w:p>
            <w:r>
              <w:rPr>
                <w:rFonts w:ascii="Calibri" w:hAnsi="Calibri"/>
              </w:rPr>
              <w:t>Upload / connect</w:t>
            </w:r>
          </w:p>
        </w:tc>
      </w:tr>
      <w:tr>
        <w:tc>
          <w:tcPr>
            <w:tcW w:type="dxa" w:w="2448"/>
            <w:shd w:val="clear" w:color="auto" w:fill="F6F4EC"/>
          </w:tcPr>
          <w:p>
            <w:r>
              <w:rPr>
                <w:rFonts w:ascii="Calibri" w:hAnsi="Calibri"/>
              </w:rPr>
              <w:t>P-02</w:t>
            </w:r>
          </w:p>
        </w:tc>
        <w:tc>
          <w:tcPr>
            <w:tcW w:type="dxa" w:w="2448"/>
            <w:shd w:val="clear" w:color="auto" w:fill="F6F4EC"/>
          </w:tcPr>
          <w:p>
            <w:r>
              <w:rPr>
                <w:rFonts w:ascii="Calibri" w:hAnsi="Calibri"/>
              </w:rPr>
              <w:t>Aligned-period KPI analysis</w:t>
            </w:r>
          </w:p>
        </w:tc>
        <w:tc>
          <w:tcPr>
            <w:tcW w:type="dxa" w:w="2448"/>
            <w:shd w:val="clear" w:color="auto" w:fill="F6F4EC"/>
          </w:tcPr>
          <w:p>
            <w:r>
              <w:rPr>
                <w:rFonts w:ascii="Calibri" w:hAnsi="Calibri"/>
              </w:rPr>
              <w:t>High</w:t>
            </w:r>
          </w:p>
        </w:tc>
        <w:tc>
          <w:tcPr>
            <w:tcW w:type="dxa" w:w="2448"/>
            <w:shd w:val="clear" w:color="auto" w:fill="F6F4EC"/>
          </w:tcPr>
          <w:p>
            <w:r>
              <w:rPr>
                <w:rFonts w:ascii="Calibri" w:hAnsi="Calibri"/>
              </w:rPr>
              <w:t>Data &amp; Insights</w:t>
            </w:r>
          </w:p>
        </w:tc>
      </w:tr>
      <w:tr>
        <w:tc>
          <w:tcPr>
            <w:tcW w:type="dxa" w:w="2448"/>
          </w:tcPr>
          <w:p>
            <w:r>
              <w:rPr>
                <w:rFonts w:ascii="Calibri" w:hAnsi="Calibri"/>
              </w:rPr>
              <w:t>P-03</w:t>
            </w:r>
          </w:p>
        </w:tc>
        <w:tc>
          <w:tcPr>
            <w:tcW w:type="dxa" w:w="2448"/>
          </w:tcPr>
          <w:p>
            <w:r>
              <w:rPr>
                <w:rFonts w:ascii="Calibri" w:hAnsi="Calibri"/>
              </w:rPr>
              <w:t>Priority-area and contributor analysis</w:t>
            </w:r>
          </w:p>
        </w:tc>
        <w:tc>
          <w:tcPr>
            <w:tcW w:type="dxa" w:w="2448"/>
          </w:tcPr>
          <w:p>
            <w:r>
              <w:rPr>
                <w:rFonts w:ascii="Calibri" w:hAnsi="Calibri"/>
              </w:rPr>
              <w:t>High</w:t>
            </w:r>
          </w:p>
        </w:tc>
        <w:tc>
          <w:tcPr>
            <w:tcW w:type="dxa" w:w="2448"/>
          </w:tcPr>
          <w:p>
            <w:r>
              <w:rPr>
                <w:rFonts w:ascii="Calibri" w:hAnsi="Calibri"/>
              </w:rPr>
              <w:t>Investigation</w:t>
            </w:r>
          </w:p>
        </w:tc>
      </w:tr>
      <w:tr>
        <w:tc>
          <w:tcPr>
            <w:tcW w:type="dxa" w:w="2448"/>
            <w:shd w:val="clear" w:color="auto" w:fill="F6F4EC"/>
          </w:tcPr>
          <w:p>
            <w:r>
              <w:rPr>
                <w:rFonts w:ascii="Calibri" w:hAnsi="Calibri"/>
              </w:rPr>
              <w:t>P-04</w:t>
            </w:r>
          </w:p>
        </w:tc>
        <w:tc>
          <w:tcPr>
            <w:tcW w:type="dxa" w:w="2448"/>
            <w:shd w:val="clear" w:color="auto" w:fill="F6F4EC"/>
          </w:tcPr>
          <w:p>
            <w:r>
              <w:rPr>
                <w:rFonts w:ascii="Calibri" w:hAnsi="Calibri"/>
              </w:rPr>
              <w:t>Operational signal analysis</w:t>
            </w:r>
          </w:p>
        </w:tc>
        <w:tc>
          <w:tcPr>
            <w:tcW w:type="dxa" w:w="2448"/>
            <w:shd w:val="clear" w:color="auto" w:fill="F6F4EC"/>
          </w:tcPr>
          <w:p>
            <w:r>
              <w:rPr>
                <w:rFonts w:ascii="Calibri" w:hAnsi="Calibri"/>
              </w:rPr>
              <w:t>High</w:t>
            </w:r>
          </w:p>
        </w:tc>
        <w:tc>
          <w:tcPr>
            <w:tcW w:type="dxa" w:w="2448"/>
            <w:shd w:val="clear" w:color="auto" w:fill="F6F4EC"/>
          </w:tcPr>
          <w:p>
            <w:r>
              <w:rPr>
                <w:rFonts w:ascii="Calibri" w:hAnsi="Calibri"/>
              </w:rPr>
              <w:t>Investigation</w:t>
            </w:r>
          </w:p>
        </w:tc>
      </w:tr>
      <w:tr>
        <w:tc>
          <w:tcPr>
            <w:tcW w:type="dxa" w:w="2448"/>
          </w:tcPr>
          <w:p>
            <w:r>
              <w:rPr>
                <w:rFonts w:ascii="Calibri" w:hAnsi="Calibri"/>
              </w:rPr>
              <w:t>P-05</w:t>
            </w:r>
          </w:p>
        </w:tc>
        <w:tc>
          <w:tcPr>
            <w:tcW w:type="dxa" w:w="2448"/>
          </w:tcPr>
          <w:p>
            <w:r>
              <w:rPr>
                <w:rFonts w:ascii="Calibri" w:hAnsi="Calibri"/>
              </w:rPr>
              <w:t>Evidence / hypothesis / gap classification</w:t>
            </w:r>
          </w:p>
        </w:tc>
        <w:tc>
          <w:tcPr>
            <w:tcW w:type="dxa" w:w="2448"/>
          </w:tcPr>
          <w:p>
            <w:r>
              <w:rPr>
                <w:rFonts w:ascii="Calibri" w:hAnsi="Calibri"/>
              </w:rPr>
              <w:t>High</w:t>
            </w:r>
          </w:p>
        </w:tc>
        <w:tc>
          <w:tcPr>
            <w:tcW w:type="dxa" w:w="2448"/>
          </w:tcPr>
          <w:p>
            <w:r>
              <w:rPr>
                <w:rFonts w:ascii="Calibri" w:hAnsi="Calibri"/>
              </w:rPr>
              <w:t>Investigation</w:t>
            </w:r>
          </w:p>
        </w:tc>
      </w:tr>
      <w:tr>
        <w:tc>
          <w:tcPr>
            <w:tcW w:type="dxa" w:w="2448"/>
            <w:shd w:val="clear" w:color="auto" w:fill="F6F4EC"/>
          </w:tcPr>
          <w:p>
            <w:r>
              <w:rPr>
                <w:rFonts w:ascii="Calibri" w:hAnsi="Calibri"/>
              </w:rPr>
              <w:t>P-06</w:t>
            </w:r>
          </w:p>
        </w:tc>
        <w:tc>
          <w:tcPr>
            <w:tcW w:type="dxa" w:w="2448"/>
            <w:shd w:val="clear" w:color="auto" w:fill="F6F4EC"/>
          </w:tcPr>
          <w:p>
            <w:r>
              <w:rPr>
                <w:rFonts w:ascii="Calibri" w:hAnsi="Calibri"/>
              </w:rPr>
              <w:t>Decision-ready recommendations</w:t>
            </w:r>
          </w:p>
        </w:tc>
        <w:tc>
          <w:tcPr>
            <w:tcW w:type="dxa" w:w="2448"/>
            <w:shd w:val="clear" w:color="auto" w:fill="F6F4EC"/>
          </w:tcPr>
          <w:p>
            <w:r>
              <w:rPr>
                <w:rFonts w:ascii="Calibri" w:hAnsi="Calibri"/>
              </w:rPr>
              <w:t>High</w:t>
            </w:r>
          </w:p>
        </w:tc>
        <w:tc>
          <w:tcPr>
            <w:tcW w:type="dxa" w:w="2448"/>
            <w:shd w:val="clear" w:color="auto" w:fill="F6F4EC"/>
          </w:tcPr>
          <w:p>
            <w:r>
              <w:rPr>
                <w:rFonts w:ascii="Calibri" w:hAnsi="Calibri"/>
              </w:rPr>
              <w:t>Recommendations</w:t>
            </w:r>
          </w:p>
        </w:tc>
      </w:tr>
      <w:tr>
        <w:tc>
          <w:tcPr>
            <w:tcW w:type="dxa" w:w="2448"/>
          </w:tcPr>
          <w:p>
            <w:r>
              <w:rPr>
                <w:rFonts w:ascii="Calibri" w:hAnsi="Calibri"/>
              </w:rPr>
              <w:t>P-07</w:t>
            </w:r>
          </w:p>
        </w:tc>
        <w:tc>
          <w:tcPr>
            <w:tcW w:type="dxa" w:w="2448"/>
          </w:tcPr>
          <w:p>
            <w:r>
              <w:rPr>
                <w:rFonts w:ascii="Calibri" w:hAnsi="Calibri"/>
              </w:rPr>
              <w:t>BA deliverable generation</w:t>
            </w:r>
          </w:p>
        </w:tc>
        <w:tc>
          <w:tcPr>
            <w:tcW w:type="dxa" w:w="2448"/>
          </w:tcPr>
          <w:p>
            <w:r>
              <w:rPr>
                <w:rFonts w:ascii="Calibri" w:hAnsi="Calibri"/>
              </w:rPr>
              <w:t>Medium</w:t>
            </w:r>
          </w:p>
        </w:tc>
        <w:tc>
          <w:tcPr>
            <w:tcW w:type="dxa" w:w="2448"/>
          </w:tcPr>
          <w:p>
            <w:r>
              <w:rPr>
                <w:rFonts w:ascii="Calibri" w:hAnsi="Calibri"/>
              </w:rPr>
              <w:t>BA Studio / Deliverables</w:t>
            </w:r>
          </w:p>
        </w:tc>
      </w:tr>
      <w:tr>
        <w:tc>
          <w:tcPr>
            <w:tcW w:type="dxa" w:w="2448"/>
            <w:shd w:val="clear" w:color="auto" w:fill="F6F4EC"/>
          </w:tcPr>
          <w:p>
            <w:r>
              <w:rPr>
                <w:rFonts w:ascii="Calibri" w:hAnsi="Calibri"/>
              </w:rPr>
              <w:t>P-08</w:t>
            </w:r>
          </w:p>
        </w:tc>
        <w:tc>
          <w:tcPr>
            <w:tcW w:type="dxa" w:w="2448"/>
            <w:shd w:val="clear" w:color="auto" w:fill="F6F4EC"/>
          </w:tcPr>
          <w:p>
            <w:r>
              <w:rPr>
                <w:rFonts w:ascii="Calibri" w:hAnsi="Calibri"/>
              </w:rPr>
              <w:t>Traceability and UAT support</w:t>
            </w:r>
          </w:p>
        </w:tc>
        <w:tc>
          <w:tcPr>
            <w:tcW w:type="dxa" w:w="2448"/>
            <w:shd w:val="clear" w:color="auto" w:fill="F6F4EC"/>
          </w:tcPr>
          <w:p>
            <w:r>
              <w:rPr>
                <w:rFonts w:ascii="Calibri" w:hAnsi="Calibri"/>
              </w:rPr>
              <w:t>Medium</w:t>
            </w:r>
          </w:p>
        </w:tc>
        <w:tc>
          <w:tcPr>
            <w:tcW w:type="dxa" w:w="2448"/>
            <w:shd w:val="clear" w:color="auto" w:fill="F6F4EC"/>
          </w:tcPr>
          <w:p>
            <w:r>
              <w:rPr>
                <w:rFonts w:ascii="Calibri" w:hAnsi="Calibri"/>
              </w:rPr>
              <w:t>Deliverables</w:t>
            </w:r>
          </w:p>
        </w:tc>
      </w:tr>
    </w:tbl>
    <w:p>
      <w:pPr>
        <w:pStyle w:val="Heading1"/>
        <w:pBdr>
          <w:bottom w:val="single" w:sz="6" w:space="4" w:color="C9C2AE"/>
        </w:pBdr>
      </w:pPr>
      <w:r>
        <w:rPr>
          <w:rFonts w:ascii="Georgia" w:hAnsi="Georgia"/>
          <w:color w:val="1F2A24"/>
          <w:sz w:val="21"/>
        </w:rPr>
        <w:t>7. Non-goals</w:t>
      </w:r>
    </w:p>
    <w:p>
      <w:pPr>
        <w:pStyle w:val="ListBullet"/>
      </w:pPr>
      <w:r>
        <w:rPr>
          <w:rFonts w:ascii="Calibri" w:hAnsi="Calibri"/>
          <w:sz w:val="21"/>
        </w:rPr>
        <w:t>Automated causal claims</w:t>
      </w:r>
    </w:p>
    <w:p>
      <w:pPr>
        <w:pStyle w:val="ListBullet"/>
      </w:pPr>
      <w:r>
        <w:rPr>
          <w:rFonts w:ascii="Calibri" w:hAnsi="Calibri"/>
          <w:sz w:val="21"/>
        </w:rPr>
        <w:t>Automatic business approval</w:t>
      </w:r>
    </w:p>
    <w:p>
      <w:pPr>
        <w:pStyle w:val="ListBullet"/>
      </w:pPr>
      <w:r>
        <w:rPr>
          <w:rFonts w:ascii="Calibri" w:hAnsi="Calibri"/>
          <w:sz w:val="21"/>
        </w:rPr>
        <w:t>Replacing operational source systems</w:t>
      </w:r>
    </w:p>
    <w:p>
      <w:pPr>
        <w:pStyle w:val="ListBullet"/>
      </w:pPr>
      <w:r>
        <w:rPr>
          <w:rFonts w:ascii="Calibri" w:hAnsi="Calibri"/>
          <w:sz w:val="21"/>
        </w:rPr>
        <w:t>Inventing targets, costs, ROI or customer outcomes</w:t>
      </w:r>
    </w:p>
    <w:p>
      <w:pPr>
        <w:pStyle w:val="Heading1"/>
        <w:pBdr>
          <w:bottom w:val="single" w:sz="6" w:space="4" w:color="C9C2AE"/>
        </w:pBdr>
      </w:pPr>
      <w:r>
        <w:rPr>
          <w:rFonts w:ascii="Georgia" w:hAnsi="Georgia"/>
          <w:color w:val="1F2A24"/>
          <w:sz w:val="21"/>
        </w:rPr>
        <w:t>8. Success criteria</w:t>
      </w:r>
    </w:p>
    <w:p>
      <w:pPr>
        <w:pStyle w:val="ListBullet"/>
      </w:pPr>
      <w:r>
        <w:rPr>
          <w:rFonts w:ascii="Calibri" w:hAnsi="Calibri"/>
          <w:sz w:val="21"/>
        </w:rPr>
        <w:t>Executive answer is understandable without a separate analyst explanation.</w:t>
      </w:r>
    </w:p>
    <w:p>
      <w:pPr>
        <w:pStyle w:val="ListBullet"/>
      </w:pPr>
      <w:r>
        <w:rPr>
          <w:rFonts w:ascii="Calibri" w:hAnsi="Calibri"/>
          <w:sz w:val="21"/>
        </w:rPr>
        <w:t>Material findings have evidence IDs or explicit validation dependencies.</w:t>
      </w:r>
    </w:p>
    <w:p>
      <w:pPr>
        <w:pStyle w:val="ListBullet"/>
      </w:pPr>
      <w:r>
        <w:rPr>
          <w:rFonts w:ascii="Calibri" w:hAnsi="Calibri"/>
          <w:sz w:val="21"/>
        </w:rPr>
        <w:t>Exported artefacts agree on objective, periods and evidence boundaries.</w:t>
      </w:r>
    </w:p>
    <w:p>
      <w:pPr>
        <w:pStyle w:val="ListBullet"/>
      </w:pPr>
      <w:r>
        <w:rPr>
          <w:rFonts w:ascii="Calibri" w:hAnsi="Calibri"/>
          <w:sz w:val="21"/>
        </w:rPr>
        <w:t>High-priority requirements map to functional behaviour and UAT.</w:t>
      </w:r>
    </w:p>
    <w:p>
      <w:pPr>
        <w:pStyle w:val="Heading1"/>
        <w:pBdr>
          <w:bottom w:val="single" w:sz="6" w:space="4" w:color="C9C2AE"/>
        </w:pBdr>
      </w:pPr>
      <w:r>
        <w:rPr>
          <w:rFonts w:ascii="Georgia" w:hAnsi="Georgia"/>
          <w:color w:val="1F2A24"/>
          <w:sz w:val="21"/>
        </w:rPr>
        <w:t>9. Release approach</w:t>
      </w:r>
    </w:p>
    <w:p>
      <w:pPr>
        <w:pStyle w:val="ListBullet"/>
      </w:pPr>
      <w:r>
        <w:rPr>
          <w:rFonts w:ascii="Calibri" w:hAnsi="Calibri"/>
          <w:sz w:val="21"/>
        </w:rPr>
        <w:t>Release 1: evidence ingestion and KPI analysis.</w:t>
      </w:r>
    </w:p>
    <w:p>
      <w:pPr>
        <w:pStyle w:val="ListBullet"/>
      </w:pPr>
      <w:r>
        <w:rPr>
          <w:rFonts w:ascii="Calibri" w:hAnsi="Calibri"/>
          <w:sz w:val="21"/>
        </w:rPr>
        <w:t>Release 2: investigation and recommendation workflow.</w:t>
      </w:r>
    </w:p>
    <w:p>
      <w:pPr>
        <w:pStyle w:val="ListBullet"/>
      </w:pPr>
      <w:r>
        <w:rPr>
          <w:rFonts w:ascii="Calibri" w:hAnsi="Calibri"/>
          <w:sz w:val="21"/>
        </w:rPr>
        <w:t>Release 3: professional BA artefact generation and traceability.</w:t>
      </w:r>
    </w:p>
    <w:p>
      <w:pPr>
        <w:pStyle w:val="ListBullet"/>
      </w:pPr>
      <w:r>
        <w:rPr>
          <w:rFonts w:ascii="Calibri" w:hAnsi="Calibri"/>
          <w:sz w:val="21"/>
        </w:rPr>
        <w:t>Production hardening: stakeholder validation, security, performance and governance.</w:t>
      </w:r>
    </w:p>
    <w:sectPr w:rsidR="00FC693F" w:rsidRPr="0006063C" w:rsidSect="00034616">
      <w:headerReference w:type="default" r:id="rId9"/>
      <w:footerReference w:type="default" r:id="rId10"/>
      <w:headerReference w:type="first" r:id="rId11"/>
      <w:footerReference w:type="first" r:id="rId12"/>
      <w:pgSz w:w="12240" w:h="15840"/>
      <w:pgMar w:top="1080" w:right="1224" w:bottom="1080" w:left="122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16F67"/>
        <w:sz w:val="16"/>
      </w:rPr>
      <w:t xml:space="preserve">Prepared with BizLens — evidence-based business analysis   |   Page </w:t>
    </w:r>
    <w:r>
      <w:fldChar w:fldCharType="begin"/>
      <w:instrText xml:space="preserve">PAGE</w:instrText>
      <w:fldChar w:fldCharType="separate"/>
      <w:t/>
      <w:fldChar w:fldCharType="end"/>
    </w:r>
    <w:r>
      <w:rPr>
        <w:color w:val="716F67"/>
        <w:sz w:val="16"/>
      </w:rPr>
      <w:t xml:space="preserve"> of </w:t>
    </w:r>
    <w:r>
      <w:fldChar w:fldCharType="begin"/>
      <w:instrText xml:space="preserve">NUMPAGES</w:instrText>
      <w:fldChar w:fldCharType="separate"/>
      <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C9C2AE"/>
      </w:pBdr>
      <w:jc w:val="right"/>
    </w:pPr>
    <w:r>
      <w:rPr>
        <w:color w:val="716F67"/>
        <w:sz w:val="17"/>
      </w:rPr>
      <w:t>03 PRD</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