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Bdr>
          <w:bottom w:val="single" w:sz="10" w:space="4" w:color="4B5D3A"/>
        </w:pBdr>
        <w:jc w:val="center"/>
      </w:pPr>
    </w:p>
    <w:p>
      <w:pPr>
        <w:jc w:val="center"/>
      </w:pPr>
      <w:r>
        <w:rPr>
          <w:rFonts w:ascii="Georgia" w:hAnsi="Georgia"/>
          <w:b/>
          <w:color w:val="1F2A24"/>
          <w:sz w:val="56"/>
        </w:rPr>
        <w:t>04 FRD</w:t>
      </w:r>
    </w:p>
    <w:p>
      <w:pPr>
        <w:jc w:val="center"/>
      </w:pPr>
      <w:r>
        <w:rPr>
          <w:rFonts w:ascii="Calibri" w:hAnsi="Calibri"/>
          <w:color w:val="4B5D3A"/>
          <w:sz w:val="26"/>
        </w:rPr>
        <w:t>Business Analysis Deliverable</w:t>
      </w:r>
    </w:p>
    <w:p>
      <w:pPr>
        <w:pBdr>
          <w:bottom w:val="single" w:sz="10" w:space="4" w:color="4B5D3A"/>
        </w:pBdr>
        <w:jc w:val="center"/>
      </w:pPr>
    </w:p>
    <w:p/>
    <w:p>
      <w:pPr>
        <w:jc w:val="center"/>
      </w:pPr>
      <w:r>
        <w:rPr>
          <w:rFonts w:ascii="Calibri" w:hAnsi="Calibri"/>
          <w:color w:val="5B584F"/>
          <w:sz w:val="21"/>
        </w:rPr>
        <w:t>Prepared: 12 September 2026</w:t>
      </w:r>
    </w:p>
    <w:p>
      <w:pPr>
        <w:jc w:val="center"/>
      </w:pPr>
      <w:r>
        <w:rPr>
          <w:rFonts w:ascii="Calibri" w:hAnsi="Calibri"/>
          <w:color w:val="5B584F"/>
          <w:sz w:val="21"/>
        </w:rPr>
        <w:t>Status: Final portfolio case study</w:t>
      </w:r>
    </w:p>
    <w:p>
      <w:pPr>
        <w:jc w:val="center"/>
      </w:pPr>
      <w:r>
        <w:rPr>
          <w:rFonts w:ascii="Calibri" w:hAnsi="Calibri"/>
          <w:color w:val="5B584F"/>
          <w:sz w:val="21"/>
        </w:rPr>
        <w:t>Classification: Business Confidential — internal use</w:t>
      </w:r>
    </w:p>
    <w:p>
      <w:r>
        <w:rPr>
          <w:rFonts w:ascii="Calibri" w:hAnsi="Calibri"/>
          <w:sz w:val="21"/>
        </w:rPr>
        <w:br w:type="page"/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Contents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Document control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1. Purpose and scope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2. Functional requirements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3. Data requirements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4. Exception and validation rules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5. Non-functional requirements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6. Acceptance and traceability</w:t>
      </w:r>
    </w:p>
    <w:p>
      <w:r>
        <w:rPr>
          <w:rFonts w:ascii="Calibri" w:hAnsi="Calibri"/>
          <w:sz w:val="21"/>
        </w:rPr>
        <w:br w:type="page"/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Document control</w:t>
      </w:r>
    </w:p>
    <w:p>
      <w:r>
        <w:rPr>
          <w:rFonts w:ascii="Calibri" w:hAnsi="Calibri"/>
          <w:sz w:val="21"/>
        </w:rPr>
        <w:t>Document ID: FRD-001</w:t>
      </w:r>
    </w:p>
    <w:p>
      <w:r>
        <w:rPr>
          <w:rFonts w:ascii="Calibri" w:hAnsi="Calibri"/>
          <w:sz w:val="21"/>
        </w:rPr>
        <w:t>Version: 3.0</w:t>
      </w:r>
    </w:p>
    <w:p>
      <w:r>
        <w:rPr>
          <w:rFonts w:ascii="Calibri" w:hAnsi="Calibri"/>
          <w:sz w:val="21"/>
        </w:rPr>
        <w:t>Status: Final portfolio case study</w:t>
      </w:r>
    </w:p>
    <w:p>
      <w:r>
        <w:rPr>
          <w:rFonts w:ascii="Calibri" w:hAnsi="Calibri"/>
          <w:sz w:val="21"/>
        </w:rPr>
        <w:t>Linked BRD: BRD-001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1. Purpose and scope</w:t>
      </w:r>
    </w:p>
    <w:p>
      <w:r>
        <w:rPr>
          <w:rFonts w:ascii="Calibri" w:hAnsi="Calibri"/>
          <w:sz w:val="21"/>
        </w:rPr>
        <w:t>Define testable system behaviour supporting BizLens from evidence ingestion through analysis, investigation, recommendation and BA deliverable export.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2.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1632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Functional behaviour</w:t>
            </w:r>
          </w:p>
        </w:tc>
        <w:tc>
          <w:tcPr>
            <w:tcW w:type="dxa" w:w="1632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632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1632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Acceptance outcome</w:t>
            </w:r>
          </w:p>
        </w:tc>
        <w:tc>
          <w:tcPr>
            <w:tcW w:type="dxa" w:w="1632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BR link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</w:rPr>
              <w:t>FR-01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Display revenue, orders, customers and cancellation KPIs from connected data.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Dashboard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Core KPI values reconcile to source aggregation.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BR-01</w:t>
            </w:r>
          </w:p>
        </w:tc>
      </w:tr>
      <w:tr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FR-02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Allow decomposition by region, product, customer segment and channel.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Analysis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Selected dimension produces consistent grouped results.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BR-02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</w:rPr>
              <w:t>FR-03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Compare aligned periods using absolute and percentage movement.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Analysis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Q3→Q4 movement matches source aggregation.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BR-03</w:t>
            </w:r>
          </w:p>
        </w:tc>
      </w:tr>
      <w:tr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FR-04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Represent the management focus separately from the largest numerical decline.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Investigation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Focus label has a business-context basis.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BR-04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</w:rPr>
              <w:t>FR-05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Show SLA and support-ticket signals beside commercial movement.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Investigation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Operational metrics use the same comparison periods.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BR-05</w:t>
            </w:r>
          </w:p>
        </w:tc>
      </w:tr>
      <w:tr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FR-06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Flag insufficient cancellation evidence and suppress causal interpretation.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Investigation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One-cancellation evidence is explicitly treated as insufficient.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BR-06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</w:rPr>
              <w:t>FR-07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Classify findings as observed evidence, hypothesis or evidence gap.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Investigation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Every material conclusion has a classification.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BR-07</w:t>
            </w:r>
          </w:p>
        </w:tc>
      </w:tr>
      <w:tr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FR-08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Carry evidence IDs into findings and exported recommendations.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Deliverables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Evidence IDs remain visible in exported output.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BR-08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</w:rPr>
              <w:t>FR-09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Generate recommendations containing action, owner status, measure, dependency and evidence.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Recommendations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Required recommendation fields are present.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BR-09</w:t>
            </w:r>
          </w:p>
        </w:tc>
      </w:tr>
      <w:tr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FR-10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Export coherent DOCX, PDF and XLSX BA artefacts.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Deliverables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Files open, contain expected sections and remain internally consistent.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BR-10</w:t>
            </w:r>
          </w:p>
        </w:tc>
      </w:tr>
    </w:tbl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3.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1632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632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Validation</w:t>
            </w:r>
          </w:p>
        </w:tc>
        <w:tc>
          <w:tcPr>
            <w:tcW w:type="dxa" w:w="1632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Transformation</w:t>
            </w:r>
          </w:p>
        </w:tc>
        <w:tc>
          <w:tcPr>
            <w:tcW w:type="dxa" w:w="1632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Use</w:t>
            </w:r>
          </w:p>
        </w:tc>
        <w:tc>
          <w:tcPr>
            <w:tcW w:type="dxa" w:w="1632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</w:rPr>
              <w:t>Revenue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Sales dataset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Numeric; non-null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Sum by period/dimension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Commercial KPI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E-002,E-003</w:t>
            </w:r>
          </w:p>
        </w:tc>
      </w:tr>
      <w:tr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Orders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Sales dataset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Numeric; non-negative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Sum by period/dimension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Volume analysis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E-001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</w:rPr>
              <w:t>SLA_Achievement_Rate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Sales dataset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Expected 0–1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Mean / agreed weighting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Service signal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E-004</w:t>
            </w:r>
          </w:p>
        </w:tc>
      </w:tr>
      <w:tr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Support_Tickets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Sales dataset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Numeric; non-negative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Tickets / orders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Service pressure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E-005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</w:rPr>
              <w:t>Cancellations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Sales dataset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Numeric; non-negative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Count/rate only when sufficient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Retention analysis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</w:rPr>
              <w:t>E-009</w:t>
            </w:r>
          </w:p>
        </w:tc>
      </w:tr>
      <w:tr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Region/Product/Segment/Channel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Sales dataset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Categorical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Group-by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Driver analysis</w:t>
            </w:r>
          </w:p>
        </w:tc>
        <w:tc>
          <w:tcPr>
            <w:tcW w:type="dxa" w:w="1632"/>
            <w:shd w:val="clear" w:color="auto" w:fill="F6F4EC"/>
          </w:tcPr>
          <w:p>
            <w:r>
              <w:rPr>
                <w:rFonts w:ascii="Calibri" w:hAnsi="Calibri"/>
              </w:rPr>
              <w:t>E-003,E-006,E-007,E-008</w:t>
            </w:r>
          </w:p>
        </w:tc>
      </w:tr>
    </w:tbl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4. Exception and validation rules</w:t>
      </w:r>
    </w:p>
    <w:p>
      <w:pPr>
        <w:pStyle w:val="ListBullet"/>
      </w:pPr>
      <w:r>
        <w:rPr>
          <w:rFonts w:ascii="Calibri" w:hAnsi="Calibri"/>
          <w:sz w:val="21"/>
        </w:rPr>
        <w:t>Missing core fields: block affected analysis and state the missing evidence.</w:t>
      </w:r>
    </w:p>
    <w:p>
      <w:pPr>
        <w:pStyle w:val="ListBullet"/>
      </w:pPr>
      <w:r>
        <w:rPr>
          <w:rFonts w:ascii="Calibri" w:hAnsi="Calibri"/>
          <w:sz w:val="21"/>
        </w:rPr>
        <w:t>Period mismatch: do not compare unlike periods without an explicit label.</w:t>
      </w:r>
    </w:p>
    <w:p>
      <w:pPr>
        <w:pStyle w:val="ListBullet"/>
      </w:pPr>
      <w:r>
        <w:rPr>
          <w:rFonts w:ascii="Calibri" w:hAnsi="Calibri"/>
          <w:sz w:val="21"/>
        </w:rPr>
        <w:t>Insufficient cancellation volume: show the evidence gap and do not infer causality.</w:t>
      </w:r>
    </w:p>
    <w:p>
      <w:pPr>
        <w:pStyle w:val="ListBullet"/>
      </w:pPr>
      <w:r>
        <w:rPr>
          <w:rFonts w:ascii="Calibri" w:hAnsi="Calibri"/>
          <w:sz w:val="21"/>
        </w:rPr>
        <w:t>Conflicting source statements: retain both, identify the conflict and require validation.</w:t>
      </w:r>
    </w:p>
    <w:p>
      <w:pPr>
        <w:pStyle w:val="ListBullet"/>
      </w:pPr>
      <w:r>
        <w:rPr>
          <w:rFonts w:ascii="Calibri" w:hAnsi="Calibri"/>
          <w:sz w:val="21"/>
        </w:rPr>
        <w:t>Missing business targets: show actual baseline and mark target as pending approval.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5. Non-functional requirements</w:t>
      </w:r>
    </w:p>
    <w:p>
      <w:pPr>
        <w:pStyle w:val="ListBullet"/>
      </w:pPr>
      <w:r>
        <w:rPr>
          <w:rFonts w:ascii="Calibri" w:hAnsi="Calibri"/>
          <w:sz w:val="21"/>
        </w:rPr>
        <w:t>NFR-01 Usable by non-technical business reviewers.</w:t>
      </w:r>
    </w:p>
    <w:p>
      <w:pPr>
        <w:pStyle w:val="ListBullet"/>
      </w:pPr>
      <w:r>
        <w:rPr>
          <w:rFonts w:ascii="Calibri" w:hAnsi="Calibri"/>
          <w:sz w:val="21"/>
        </w:rPr>
        <w:t>NFR-02 Material claims remain traceable to source evidence.</w:t>
      </w:r>
    </w:p>
    <w:p>
      <w:pPr>
        <w:pStyle w:val="ListBullet"/>
      </w:pPr>
      <w:r>
        <w:rPr>
          <w:rFonts w:ascii="Calibri" w:hAnsi="Calibri"/>
          <w:sz w:val="21"/>
        </w:rPr>
        <w:t>NFR-03 Missing evidence is visible rather than silently fabricated.</w:t>
      </w:r>
    </w:p>
    <w:p>
      <w:pPr>
        <w:pStyle w:val="ListBullet"/>
      </w:pPr>
      <w:r>
        <w:rPr>
          <w:rFonts w:ascii="Calibri" w:hAnsi="Calibri"/>
          <w:sz w:val="21"/>
        </w:rPr>
        <w:t>NFR-04 Exports remain readable and internally consistent.</w:t>
      </w:r>
    </w:p>
    <w:p>
      <w:pPr>
        <w:pStyle w:val="ListBullet"/>
      </w:pPr>
      <w:r>
        <w:rPr>
          <w:rFonts w:ascii="Calibri" w:hAnsi="Calibri"/>
          <w:sz w:val="21"/>
        </w:rPr>
        <w:t>NFR-05 Analysis should fail safely when required data is malformed or incomplete.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6. Acceptance and traceability</w:t>
      </w:r>
    </w:p>
    <w:p>
      <w:r>
        <w:rPr>
          <w:rFonts w:ascii="Calibri" w:hAnsi="Calibri"/>
          <w:sz w:val="21"/>
        </w:rPr>
        <w:t>No high-priority functional requirement is considered complete until its BR, user story, UAT scenario and evidence boundary are mapped. UAT status remains Not Run until an actual execution is performed.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224" w:bottom="1080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6F67"/>
        <w:sz w:val="16"/>
      </w:rPr>
      <w:t xml:space="preserve">Prepared with BizLens — evidence-based business analysis   |   Page </w:t>
    </w:r>
    <w:r>
      <w:fldChar w:fldCharType="begin"/>
      <w:instrText xml:space="preserve">PAGE</w:instrText>
      <w:fldChar w:fldCharType="separate"/>
      <w:t/>
      <w:fldChar w:fldCharType="end"/>
    </w:r>
    <w:r>
      <w:rPr>
        <w:color w:val="716F67"/>
        <w:sz w:val="16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C9C2AE"/>
      </w:pBdr>
      <w:jc w:val="right"/>
    </w:pPr>
    <w:r>
      <w:rPr>
        <w:color w:val="716F67"/>
        <w:sz w:val="17"/>
      </w:rPr>
      <w:t>04 FRD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