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Bdr>
          <w:bottom w:val="single" w:sz="10" w:space="4" w:color="4B5D3A"/>
        </w:pBdr>
        <w:jc w:val="center"/>
      </w:pPr>
    </w:p>
    <w:p>
      <w:pPr>
        <w:jc w:val="center"/>
      </w:pPr>
      <w:r>
        <w:rPr>
          <w:rFonts w:ascii="Georgia" w:hAnsi="Georgia"/>
          <w:b/>
          <w:color w:val="1F2A24"/>
          <w:sz w:val="56"/>
        </w:rPr>
        <w:t>06 RCA</w:t>
      </w:r>
    </w:p>
    <w:p>
      <w:pPr>
        <w:jc w:val="center"/>
      </w:pPr>
      <w:r>
        <w:rPr>
          <w:rFonts w:ascii="Calibri" w:hAnsi="Calibri"/>
          <w:color w:val="4B5D3A"/>
          <w:sz w:val="26"/>
        </w:rPr>
        <w:t>Business Analysis Deliverable</w:t>
      </w:r>
    </w:p>
    <w:p>
      <w:pPr>
        <w:pBdr>
          <w:bottom w:val="single" w:sz="10" w:space="4" w:color="4B5D3A"/>
        </w:pBdr>
        <w:jc w:val="center"/>
      </w:pPr>
    </w:p>
    <w:p/>
    <w:p>
      <w:pPr>
        <w:jc w:val="center"/>
      </w:pPr>
      <w:r>
        <w:rPr>
          <w:rFonts w:ascii="Calibri" w:hAnsi="Calibri"/>
          <w:color w:val="5B584F"/>
          <w:sz w:val="21"/>
        </w:rPr>
        <w:t>Prepared: 12 September 2026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Status: Final portfolio case study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Classification: Business Confidential — internal use</w:t>
      </w:r>
    </w:p>
    <w:p>
      <w:r>
        <w:rPr>
          <w:rFonts w:ascii="Calibri" w:hAnsi="Calibri"/>
          <w:sz w:val="21"/>
        </w:rPr>
        <w:br w:type="page"/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Contents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Document control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1. Problem statement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2. Evidence register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3. Hypothesis assessment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4. Root-cause conclusion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5. Validation plan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6. Investigation outcome</w:t>
      </w:r>
    </w:p>
    <w:p>
      <w:r>
        <w:rPr>
          <w:rFonts w:ascii="Calibri" w:hAnsi="Calibri"/>
          <w:sz w:val="21"/>
        </w:rPr>
        <w:br w:type="page"/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Document control</w:t>
      </w:r>
    </w:p>
    <w:p>
      <w:r>
        <w:rPr>
          <w:rFonts w:ascii="Calibri" w:hAnsi="Calibri"/>
          <w:sz w:val="21"/>
        </w:rPr>
        <w:t>Document ID: RCA-001</w:t>
      </w:r>
    </w:p>
    <w:p>
      <w:r>
        <w:rPr>
          <w:rFonts w:ascii="Calibri" w:hAnsi="Calibri"/>
          <w:sz w:val="21"/>
        </w:rPr>
        <w:t>Version: 3.0</w:t>
      </w:r>
    </w:p>
    <w:p>
      <w:r>
        <w:rPr>
          <w:rFonts w:ascii="Calibri" w:hAnsi="Calibri"/>
          <w:sz w:val="21"/>
        </w:rPr>
        <w:t>Status: Final portfolio case study</w:t>
      </w:r>
    </w:p>
    <w:p>
      <w:r>
        <w:rPr>
          <w:rFonts w:ascii="Calibri" w:hAnsi="Calibri"/>
          <w:sz w:val="21"/>
        </w:rPr>
        <w:t>Method: Period-aligned comparison + segmentation + operational signal review + evidence classification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1. Problem statement</w:t>
      </w:r>
    </w:p>
    <w:p>
      <w:r>
        <w:rPr>
          <w:rFonts w:ascii="Calibri" w:hAnsi="Calibri"/>
          <w:sz w:val="21"/>
        </w:rPr>
        <w:t>South revenue declined 2.1% from Q3 to Q4. SLA achievement fell 9.7 percentage points and support tickets/order increased +32.8%. The question is whether service deterioration is a contributor to the commercial decline and retention concern.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2. Evidence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Period / aggregation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E-001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Sales dataset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1,200 rows covering Jan–Dec 2025; fields include revenue, orders, customers, cancellations, SLA achievement and support tickets.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Full connected dataset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E-002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Overall revenue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Q3 revenue ₹1,471,427; Q4 revenue ₹1,447,831; movement -1.6%.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All regions, Q3→Q4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E-003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 revenue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Q3 revenue ₹485,975; Q4 revenue ₹475,859; movement -2.1%.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E-004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 SLA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SLA achievement 81.6% in Q3 to 71.9% in Q4, a -9.7 percentage-point movement.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E-005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 support pressure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Support tickets/order 0.075 to 0.099, a +32.8% movement.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E-006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 product mix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Cloud Suite -11.0%; Analytics Pro -10.5%; CRM Platform -4.3%; Security Plus +27.1%.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E-007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 segment mix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SMB -21.6%; Mid-Market -18.5%; Enterprise +38.0%.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E-008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 channel mix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Direct -11.7%; Online -5.7%; Partner +15.9%.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South, Q3→Q4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E-009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Cancellation evidence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Only 1 recorded cancellation exists in the connected dataset. This is insufficient for a customer-level causal analysis.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Full connected dataset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E-010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Business context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Management evidence identifies South as a priority area and raises delivery/SLA and cancellation concerns. Customer-level linkage is required before causal interpretation.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Business documents</w:t>
            </w:r>
          </w:p>
        </w:tc>
      </w:tr>
    </w:tbl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3. Hypothesis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Hypothesis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Interpretation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H-01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South service deterioration contributed to the revenue decline.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Partially supported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E-003,E-004,E-005,E-010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Revenue and service moved adversely in the same period; no causal linkage.</w:t>
            </w:r>
          </w:p>
        </w:tc>
      </w:tr>
      <w:tr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H-02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Cloud Suite decline is a material commercial contributor in South.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Supported as contribution signal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E-006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Revenue declined Q3→Q4; absolute impact should be reviewed before intervention.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H-03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SMB/Mid-Market weakness contributes to South decline.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Supported as contribution signal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E-007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Both segments declined; Enterprise growth offsets part of the pressure.</w:t>
            </w:r>
          </w:p>
        </w:tc>
      </w:tr>
      <w:tr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H-04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Direct/Online weakness contributes to South decline.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Supported as contribution signal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E-008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Both channels declined; Partner growth offsets part of the pressure.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H-05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SLA breaches are causing cancellations.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Unvalidated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E-009,E-010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Only one cancellation is available and no customer/order linkage is present.</w:t>
            </w:r>
          </w:p>
        </w:tc>
      </w:tr>
    </w:tbl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4. Root-cause conclusion</w:t>
      </w:r>
    </w:p>
    <w:p>
      <w:r>
        <w:rPr>
          <w:rFonts w:ascii="Calibri" w:hAnsi="Calibri"/>
          <w:sz w:val="21"/>
        </w:rPr>
        <w:t>No root cause is confirmed. The strongest current operational hypothesis is service-performance deterioration because it is period-aligned with the South decline and supported by business context. This remains a hypothesis, not a causal finding.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5. Validation plan</w:t>
      </w:r>
    </w:p>
    <w:p>
      <w:pPr>
        <w:pStyle w:val="ListBullet"/>
      </w:pPr>
      <w:r>
        <w:rPr>
          <w:rFonts w:ascii="Calibri" w:hAnsi="Calibri"/>
          <w:sz w:val="21"/>
        </w:rPr>
        <w:t>Obtain customer/order-level cancellation records and reasons.</w:t>
      </w:r>
    </w:p>
    <w:p>
      <w:pPr>
        <w:pStyle w:val="ListBullet"/>
      </w:pPr>
      <w:r>
        <w:rPr>
          <w:rFonts w:ascii="Calibri" w:hAnsi="Calibri"/>
          <w:sz w:val="21"/>
        </w:rPr>
        <w:t>Obtain SLA breach events and affected orders.</w:t>
      </w:r>
    </w:p>
    <w:p>
      <w:pPr>
        <w:pStyle w:val="ListBullet"/>
      </w:pPr>
      <w:r>
        <w:rPr>
          <w:rFonts w:ascii="Calibri" w:hAnsi="Calibri"/>
          <w:sz w:val="21"/>
        </w:rPr>
        <w:t>Join service and cancellation records on a common customer/order key where permitted.</w:t>
      </w:r>
    </w:p>
    <w:p>
      <w:pPr>
        <w:pStyle w:val="ListBullet"/>
      </w:pPr>
      <w:r>
        <w:rPr>
          <w:rFonts w:ascii="Calibri" w:hAnsi="Calibri"/>
          <w:sz w:val="21"/>
        </w:rPr>
        <w:t>Compare cancellation rates for breached versus unaffected orders/customers.</w:t>
      </w:r>
    </w:p>
    <w:p>
      <w:pPr>
        <w:pStyle w:val="ListBullet"/>
      </w:pPr>
      <w:r>
        <w:rPr>
          <w:rFonts w:ascii="Calibri" w:hAnsi="Calibri"/>
          <w:sz w:val="21"/>
        </w:rPr>
        <w:t>Check whether service events precede cancellation events.</w:t>
      </w:r>
    </w:p>
    <w:p>
      <w:pPr>
        <w:pStyle w:val="ListBullet"/>
      </w:pPr>
      <w:r>
        <w:rPr>
          <w:rFonts w:ascii="Calibri" w:hAnsi="Calibri"/>
          <w:sz w:val="21"/>
        </w:rPr>
        <w:t>Segment results by product, customer segment, region and channel.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6. Investigation outcome</w:t>
      </w:r>
    </w:p>
    <w:p>
      <w:r>
        <w:rPr>
          <w:rFonts w:ascii="Calibri" w:hAnsi="Calibri"/>
          <w:sz w:val="21"/>
        </w:rPr>
        <w:t>The current analysis establishes where to investigate, what evidence supports the hypothesis and what evidence is missing. The appropriate next action is targeted validation rather than a blanket commercial intervention.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224" w:bottom="1080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6F67"/>
        <w:sz w:val="16"/>
      </w:rPr>
      <w:t xml:space="preserve">Prepared with BizLens — evidence-based business analysis   |   Page </w:t>
    </w:r>
    <w:r>
      <w:fldChar w:fldCharType="begin"/>
      <w:instrText xml:space="preserve">PAGE</w:instrText>
      <w:fldChar w:fldCharType="separate"/>
      <w:t/>
      <w:fldChar w:fldCharType="end"/>
    </w:r>
    <w:r>
      <w:rPr>
        <w:color w:val="716F67"/>
        <w:sz w:val="16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C9C2AE"/>
      </w:pBdr>
      <w:jc w:val="right"/>
    </w:pPr>
    <w:r>
      <w:rPr>
        <w:color w:val="716F67"/>
        <w:sz w:val="17"/>
      </w:rPr>
      <w:t>06 RCA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