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Bdr>
          <w:bottom w:val="single" w:sz="10" w:space="4" w:color="4B5D3A"/>
        </w:pBdr>
        <w:jc w:val="center"/>
      </w:pPr>
    </w:p>
    <w:p>
      <w:pPr>
        <w:jc w:val="center"/>
      </w:pPr>
      <w:r>
        <w:rPr>
          <w:rFonts w:ascii="Georgia" w:hAnsi="Georgia"/>
          <w:b/>
          <w:color w:val="1F2A24"/>
          <w:sz w:val="56"/>
        </w:rPr>
        <w:t>07 Data Business Analysis</w:t>
      </w:r>
    </w:p>
    <w:p>
      <w:pPr>
        <w:jc w:val="center"/>
      </w:pPr>
      <w:r>
        <w:rPr>
          <w:rFonts w:ascii="Calibri" w:hAnsi="Calibri"/>
          <w:color w:val="4B5D3A"/>
          <w:sz w:val="26"/>
        </w:rPr>
        <w:t>Business Analysis Deliverable</w:t>
      </w:r>
    </w:p>
    <w:p>
      <w:pPr>
        <w:pBdr>
          <w:bottom w:val="single" w:sz="10" w:space="4" w:color="4B5D3A"/>
        </w:pBdr>
        <w:jc w:val="center"/>
      </w:pPr>
    </w:p>
    <w:p/>
    <w:p>
      <w:pPr>
        <w:jc w:val="center"/>
      </w:pPr>
      <w:r>
        <w:rPr>
          <w:rFonts w:ascii="Calibri" w:hAnsi="Calibri"/>
          <w:color w:val="5B584F"/>
          <w:sz w:val="21"/>
        </w:rPr>
        <w:t>Prepared: 12 September 2026</w:t>
      </w:r>
    </w:p>
    <w:p>
      <w:pPr>
        <w:jc w:val="center"/>
      </w:pPr>
      <w:r>
        <w:rPr>
          <w:rFonts w:ascii="Calibri" w:hAnsi="Calibri"/>
          <w:color w:val="5B584F"/>
          <w:sz w:val="21"/>
        </w:rPr>
        <w:t>Status: Final portfolio case study</w:t>
      </w:r>
    </w:p>
    <w:p>
      <w:pPr>
        <w:jc w:val="center"/>
      </w:pPr>
      <w:r>
        <w:rPr>
          <w:rFonts w:ascii="Calibri" w:hAnsi="Calibri"/>
          <w:color w:val="5B584F"/>
          <w:sz w:val="21"/>
        </w:rPr>
        <w:t>Classification: Business Confidential — internal use</w:t>
      </w:r>
    </w:p>
    <w:p>
      <w:r>
        <w:rPr>
          <w:rFonts w:ascii="Calibri" w:hAnsi="Calibri"/>
          <w:sz w:val="21"/>
        </w:rPr>
        <w:br w:type="page"/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Contents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Document control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1. Business question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2. Data used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3. Method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4. Executive findings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5. Full-dataset regional context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6. South contributor detail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7. Evidence register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8. Interpretation and limitations</w:t>
      </w:r>
    </w:p>
    <w:p>
      <w:r>
        <w:rPr>
          <w:rFonts w:ascii="Calibri" w:hAnsi="Calibri"/>
          <w:sz w:val="21"/>
        </w:rPr>
        <w:br w:type="page"/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Document control</w:t>
      </w:r>
    </w:p>
    <w:p>
      <w:r>
        <w:rPr>
          <w:rFonts w:ascii="Calibri" w:hAnsi="Calibri"/>
          <w:sz w:val="21"/>
        </w:rPr>
        <w:t>Document ID: DBA-001</w:t>
      </w:r>
    </w:p>
    <w:p>
      <w:r>
        <w:rPr>
          <w:rFonts w:ascii="Calibri" w:hAnsi="Calibri"/>
          <w:sz w:val="21"/>
        </w:rPr>
        <w:t>Version: 3.0</w:t>
      </w:r>
    </w:p>
    <w:p>
      <w:r>
        <w:rPr>
          <w:rFonts w:ascii="Calibri" w:hAnsi="Calibri"/>
          <w:sz w:val="21"/>
        </w:rPr>
        <w:t>Status: Final portfolio case study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1. Business question</w:t>
      </w:r>
    </w:p>
    <w:p>
      <w:r>
        <w:rPr>
          <w:rFonts w:ascii="Calibri" w:hAnsi="Calibri"/>
          <w:sz w:val="21"/>
        </w:rPr>
        <w:t>Understand why revenue performance weakened in Q4, identify the regions, products and customer segments requiring management attention, and agree actions that can improve retention and delivery performance.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2. Data used</w:t>
      </w:r>
    </w:p>
    <w:p>
      <w:r>
        <w:rPr>
          <w:rFonts w:ascii="Calibri" w:hAnsi="Calibri"/>
          <w:sz w:val="21"/>
        </w:rPr>
        <w:t>BizLens_Test_Sales_Data.csv; 1,200 rows, 12 columns, Jan–Dec 2025. The primary executive comparison is Q3→Q4. Full-dataset totals are labelled separately to avoid mixing aggregation scopes.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3. Method</w:t>
      </w:r>
    </w:p>
    <w:p>
      <w:pPr>
        <w:pStyle w:val="ListBullet"/>
      </w:pPr>
      <w:r>
        <w:rPr>
          <w:rFonts w:ascii="Calibri" w:hAnsi="Calibri"/>
          <w:sz w:val="21"/>
        </w:rPr>
        <w:t>Primary period: Q3→Q4 2025.</w:t>
      </w:r>
    </w:p>
    <w:p>
      <w:pPr>
        <w:pStyle w:val="ListBullet"/>
      </w:pPr>
      <w:r>
        <w:rPr>
          <w:rFonts w:ascii="Calibri" w:hAnsi="Calibri"/>
          <w:sz w:val="21"/>
        </w:rPr>
        <w:t>Secondary monitoring context may use later periods, but does not replace the primary comparison.</w:t>
      </w:r>
    </w:p>
    <w:p>
      <w:pPr>
        <w:pStyle w:val="ListBullet"/>
      </w:pPr>
      <w:r>
        <w:rPr>
          <w:rFonts w:ascii="Calibri" w:hAnsi="Calibri"/>
          <w:sz w:val="21"/>
        </w:rPr>
        <w:t>Revenue is analysed by region, product, customer segment and channel.</w:t>
      </w:r>
    </w:p>
    <w:p>
      <w:pPr>
        <w:pStyle w:val="ListBullet"/>
      </w:pPr>
      <w:r>
        <w:rPr>
          <w:rFonts w:ascii="Calibri" w:hAnsi="Calibri"/>
          <w:sz w:val="21"/>
        </w:rPr>
        <w:t>South SLA and support tickets/order are aligned to the same Q3→Q4 period.</w:t>
      </w:r>
    </w:p>
    <w:p>
      <w:pPr>
        <w:pStyle w:val="ListBullet"/>
      </w:pPr>
      <w:r>
        <w:rPr>
          <w:rFonts w:ascii="Calibri" w:hAnsi="Calibri"/>
          <w:sz w:val="21"/>
        </w:rPr>
        <w:t>Cancellation evidence is assessed for sufficiency before interpretation.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4. Executive findings</w:t>
      </w:r>
    </w:p>
    <w:p>
      <w:pPr>
        <w:pStyle w:val="ListBullet"/>
      </w:pPr>
      <w:r>
        <w:rPr>
          <w:rFonts w:ascii="Calibri" w:hAnsi="Calibri"/>
          <w:sz w:val="21"/>
        </w:rPr>
        <w:t>Total revenue changed -1.6% from Q3 to Q4.</w:t>
      </w:r>
    </w:p>
    <w:p>
      <w:pPr>
        <w:pStyle w:val="ListBullet"/>
      </w:pPr>
      <w:r>
        <w:rPr>
          <w:rFonts w:ascii="Calibri" w:hAnsi="Calibri"/>
          <w:sz w:val="21"/>
        </w:rPr>
        <w:t>South revenue changed -2.1% from Q3 to Q4.</w:t>
      </w:r>
    </w:p>
    <w:p>
      <w:pPr>
        <w:pStyle w:val="ListBullet"/>
      </w:pPr>
      <w:r>
        <w:rPr>
          <w:rFonts w:ascii="Calibri" w:hAnsi="Calibri"/>
          <w:sz w:val="21"/>
        </w:rPr>
        <w:t>South SLA changed -9.7 percentage points.</w:t>
      </w:r>
    </w:p>
    <w:p>
      <w:pPr>
        <w:pStyle w:val="ListBullet"/>
      </w:pPr>
      <w:r>
        <w:rPr>
          <w:rFonts w:ascii="Calibri" w:hAnsi="Calibri"/>
          <w:sz w:val="21"/>
        </w:rPr>
        <w:t>South support tickets/order changed +32.8%.</w:t>
      </w:r>
    </w:p>
    <w:p>
      <w:pPr>
        <w:pStyle w:val="ListBullet"/>
      </w:pPr>
      <w:r>
        <w:rPr>
          <w:rFonts w:ascii="Calibri" w:hAnsi="Calibri"/>
          <w:sz w:val="21"/>
        </w:rPr>
        <w:t>Cloud Suite and Analytics Pro declined in South; Enterprise and Partner were offsets.</w:t>
      </w:r>
    </w:p>
    <w:p>
      <w:pPr>
        <w:pStyle w:val="ListBullet"/>
      </w:pPr>
      <w:r>
        <w:rPr>
          <w:rFonts w:ascii="Calibri" w:hAnsi="Calibri"/>
          <w:sz w:val="21"/>
        </w:rPr>
        <w:t>Only one cancellation is recorded, so service-to-cancellation causality cannot be established.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5. Full-dataset regional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Region</w:t>
            </w:r>
          </w:p>
        </w:tc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Revenue total</w:t>
            </w:r>
          </w:p>
        </w:tc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Rows</w:t>
            </w:r>
          </w:p>
        </w:tc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Aggregation scope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East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₹820,076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181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Full connected dataset, Jan–Dec 2025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North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₹1,333,181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298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Full connected dataset, Jan–Dec 2025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South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₹1,825,389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439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Full connected dataset, Jan–Dec 2025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West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₹1,208,898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272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Full connected dataset, Jan–Dec 2025</w:t>
            </w:r>
          </w:p>
        </w:tc>
      </w:tr>
    </w:tbl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6. South contributor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Product</w:t>
            </w:r>
          </w:p>
        </w:tc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Q3 revenue</w:t>
            </w:r>
          </w:p>
        </w:tc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Q4 revenue</w:t>
            </w:r>
          </w:p>
        </w:tc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Absolute change</w:t>
            </w:r>
          </w:p>
        </w:tc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% change</w:t>
            </w:r>
          </w:p>
        </w:tc>
      </w:tr>
      <w:tr>
        <w:tc>
          <w:tcPr>
            <w:tcW w:type="dxa" w:w="1958"/>
          </w:tcPr>
          <w:p>
            <w:r>
              <w:rPr>
                <w:rFonts w:ascii="Calibri" w:hAnsi="Calibri"/>
              </w:rPr>
              <w:t>Cloud Suite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₹171,326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₹152,447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₹-18,879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-11.0%</w:t>
            </w:r>
          </w:p>
        </w:tc>
      </w:tr>
      <w:tr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Analytics Pro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₹130,076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₹116,419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₹-13,657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-10.5%</w:t>
            </w:r>
          </w:p>
        </w:tc>
      </w:tr>
      <w:tr>
        <w:tc>
          <w:tcPr>
            <w:tcW w:type="dxa" w:w="1958"/>
          </w:tcPr>
          <w:p>
            <w:r>
              <w:rPr>
                <w:rFonts w:ascii="Calibri" w:hAnsi="Calibri"/>
              </w:rPr>
              <w:t>CRM Platform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₹88,118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₹84,360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₹-3,758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-4.3%</w:t>
            </w:r>
          </w:p>
        </w:tc>
      </w:tr>
      <w:tr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Security Plus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₹96,455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₹122,633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₹26,178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+27.1%</w:t>
            </w:r>
          </w:p>
        </w:tc>
      </w:tr>
      <w:tr>
        <w:tc>
          <w:tcPr>
            <w:tcW w:type="dxa" w:w="1958"/>
          </w:tcPr>
          <w:p>
            <w:r>
              <w:rPr>
                <w:rFonts w:ascii="Calibri" w:hAnsi="Calibri"/>
              </w:rPr>
              <w:t>Segment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Q3 revenue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Q4 revenue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Absolute change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% change</w:t>
            </w:r>
          </w:p>
        </w:tc>
      </w:tr>
      <w:tr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SMB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₹155,696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₹122,138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₹-33,557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-21.6%</w:t>
            </w:r>
          </w:p>
        </w:tc>
      </w:tr>
      <w:tr>
        <w:tc>
          <w:tcPr>
            <w:tcW w:type="dxa" w:w="1958"/>
          </w:tcPr>
          <w:p>
            <w:r>
              <w:rPr>
                <w:rFonts w:ascii="Calibri" w:hAnsi="Calibri"/>
              </w:rPr>
              <w:t>Mid-Market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₹180,700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₹147,313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₹-33,387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-18.5%</w:t>
            </w:r>
          </w:p>
        </w:tc>
      </w:tr>
      <w:tr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Enterprise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₹149,580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₹206,408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₹56,828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+38.0%</w:t>
            </w:r>
          </w:p>
        </w:tc>
      </w:tr>
      <w:tr>
        <w:tc>
          <w:tcPr>
            <w:tcW w:type="dxa" w:w="1958"/>
          </w:tcPr>
          <w:p>
            <w:r>
              <w:rPr>
                <w:rFonts w:ascii="Calibri" w:hAnsi="Calibri"/>
              </w:rPr>
              <w:t>Channel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Q3 revenue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Q4 revenue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Absolute change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% change</w:t>
            </w:r>
          </w:p>
        </w:tc>
      </w:tr>
      <w:tr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Direct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₹176,433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₹155,766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₹-20,666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-11.7%</w:t>
            </w:r>
          </w:p>
        </w:tc>
      </w:tr>
      <w:tr>
        <w:tc>
          <w:tcPr>
            <w:tcW w:type="dxa" w:w="1958"/>
          </w:tcPr>
          <w:p>
            <w:r>
              <w:rPr>
                <w:rFonts w:ascii="Calibri" w:hAnsi="Calibri"/>
              </w:rPr>
              <w:t>Online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₹178,927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₹168,755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₹-10,172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-5.7%</w:t>
            </w:r>
          </w:p>
        </w:tc>
      </w:tr>
      <w:tr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Partner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₹130,615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₹151,338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₹20,723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+15.9%</w:t>
            </w:r>
          </w:p>
        </w:tc>
      </w:tr>
    </w:tbl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7. Evidence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Period / aggregation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E-001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Sales dataset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1,200 rows covering Jan–Dec 2025; fields include revenue, orders, customers, cancellations, SLA achievement and support tickets.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Full connected dataset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E-002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Overall revenue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Q3 revenue ₹1,471,427; Q4 revenue ₹1,447,831; movement -1.6%.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All regions, Q3→Q4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E-003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 revenue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Q3 revenue ₹485,975; Q4 revenue ₹475,859; movement -2.1%.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South, Q3→Q4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E-004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South SLA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SLA achievement 81.6% in Q3 to 71.9% in Q4, a -9.7 percentage-point movement.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South, Q3→Q4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E-005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 support pressure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Support tickets/order 0.075 to 0.099, a +32.8% movement.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South, Q3→Q4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E-006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South product mix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Cloud Suite -11.0%; Analytics Pro -10.5%; CRM Platform -4.3%; Security Plus +27.1%.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South, Q3→Q4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E-007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 segment mix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SMB -21.6%; Mid-Market -18.5%; Enterprise +38.0%.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South, Q3→Q4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E-008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South channel mix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Direct -11.7%; Online -5.7%; Partner +15.9%.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South, Q3→Q4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E-009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Cancellation evidence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Only 1 recorded cancellation exists in the connected dataset. This is insufficient for a customer-level causal analysis.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Full connected dataset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E-010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Business context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Management evidence identifies South as a priority area and raises delivery/SLA and cancellation concerns. Customer-level linkage is required before causal interpretation.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Business documents</w:t>
            </w:r>
          </w:p>
        </w:tc>
      </w:tr>
    </w:tbl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8. Interpretation and limitations</w:t>
      </w:r>
    </w:p>
    <w:p>
      <w:pPr>
        <w:pStyle w:val="ListBullet"/>
      </w:pPr>
      <w:r>
        <w:rPr>
          <w:rFonts w:ascii="Calibri" w:hAnsi="Calibri"/>
          <w:sz w:val="21"/>
        </w:rPr>
        <w:t>South is a management focus based on business context, not simply because it has the largest raw decline.</w:t>
      </w:r>
    </w:p>
    <w:p>
      <w:pPr>
        <w:pStyle w:val="ListBullet"/>
      </w:pPr>
      <w:r>
        <w:rPr>
          <w:rFonts w:ascii="Calibri" w:hAnsi="Calibri"/>
          <w:sz w:val="21"/>
        </w:rPr>
        <w:t>Product/segment/channel movements are contribution signals and should be ranked by absolute revenue impact before intervention.</w:t>
      </w:r>
    </w:p>
    <w:p>
      <w:pPr>
        <w:pStyle w:val="ListBullet"/>
      </w:pPr>
      <w:r>
        <w:rPr>
          <w:rFonts w:ascii="Calibri" w:hAnsi="Calibri"/>
          <w:sz w:val="21"/>
        </w:rPr>
        <w:t>Service deterioration is a correlated operational signal, not a confirmed root cause.</w:t>
      </w:r>
    </w:p>
    <w:p>
      <w:pPr>
        <w:pStyle w:val="ListBullet"/>
      </w:pPr>
      <w:r>
        <w:rPr>
          <w:rFonts w:ascii="Calibri" w:hAnsi="Calibri"/>
          <w:sz w:val="21"/>
        </w:rPr>
        <w:t>Cancellation analysis requires richer customer/order-level evidence.</w:t>
      </w:r>
    </w:p>
    <w:p>
      <w:pPr>
        <w:pStyle w:val="ListBullet"/>
      </w:pPr>
      <w:r>
        <w:rPr>
          <w:rFonts w:ascii="Calibri" w:hAnsi="Calibri"/>
          <w:sz w:val="21"/>
        </w:rPr>
        <w:t>Targets, costs and ROI are not supplied and are therefore not invented.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80" w:right="1224" w:bottom="1080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6F67"/>
        <w:sz w:val="16"/>
      </w:rPr>
      <w:t xml:space="preserve">Prepared with BizLens — evidence-based business analysis   |   Page </w:t>
    </w:r>
    <w:r>
      <w:fldChar w:fldCharType="begin"/>
      <w:instrText xml:space="preserve">PAGE</w:instrText>
      <w:fldChar w:fldCharType="separate"/>
      <w:t/>
      <w:fldChar w:fldCharType="end"/>
    </w:r>
    <w:r>
      <w:rPr>
        <w:color w:val="716F67"/>
        <w:sz w:val="16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C9C2AE"/>
      </w:pBdr>
      <w:jc w:val="right"/>
    </w:pPr>
    <w:r>
      <w:rPr>
        <w:color w:val="716F67"/>
        <w:sz w:val="17"/>
      </w:rPr>
      <w:t>07 Data Business Analysis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