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Bdr>
          <w:bottom w:val="single" w:sz="10" w:space="4" w:color="4B5D3A"/>
        </w:pBdr>
        <w:jc w:val="center"/>
      </w:pPr>
    </w:p>
    <w:p>
      <w:pPr>
        <w:jc w:val="center"/>
      </w:pPr>
      <w:r>
        <w:rPr>
          <w:rFonts w:ascii="Georgia" w:hAnsi="Georgia"/>
          <w:b/>
          <w:color w:val="1F2A24"/>
          <w:sz w:val="56"/>
        </w:rPr>
        <w:t>09 Gap Analysis</w:t>
      </w:r>
    </w:p>
    <w:p>
      <w:pPr>
        <w:jc w:val="center"/>
      </w:pPr>
      <w:r>
        <w:rPr>
          <w:rFonts w:ascii="Calibri" w:hAnsi="Calibri"/>
          <w:color w:val="4B5D3A"/>
          <w:sz w:val="26"/>
        </w:rPr>
        <w:t>Business Analysis Deliverable</w:t>
      </w:r>
    </w:p>
    <w:p>
      <w:pPr>
        <w:pBdr>
          <w:bottom w:val="single" w:sz="10" w:space="4" w:color="4B5D3A"/>
        </w:pBdr>
        <w:jc w:val="center"/>
      </w:pPr>
    </w:p>
    <w:p/>
    <w:p>
      <w:pPr>
        <w:jc w:val="center"/>
      </w:pPr>
      <w:r>
        <w:rPr>
          <w:rFonts w:ascii="Calibri" w:hAnsi="Calibri"/>
          <w:color w:val="5B584F"/>
          <w:sz w:val="21"/>
        </w:rPr>
        <w:t>Prepared: 12 September 2026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Status: Final portfolio case study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Classification: Business Confidential — internal use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Contents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Document control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1. Gap analysis purpose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2. Gap matrix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3. Closure sequence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4. Gap closure acceptance</w:t>
      </w:r>
    </w:p>
    <w:p/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Document control</w:t>
      </w:r>
    </w:p>
    <w:p>
      <w:r>
        <w:rPr>
          <w:rFonts w:ascii="Calibri" w:hAnsi="Calibri"/>
          <w:sz w:val="21"/>
        </w:rPr>
        <w:t>Document ID: GAP-001</w:t>
      </w:r>
    </w:p>
    <w:p>
      <w:r>
        <w:rPr>
          <w:rFonts w:ascii="Calibri" w:hAnsi="Calibri"/>
          <w:sz w:val="21"/>
        </w:rPr>
        <w:t>Version: 3.0</w:t>
      </w:r>
    </w:p>
    <w:p>
      <w:r>
        <w:rPr>
          <w:rFonts w:ascii="Calibri" w:hAnsi="Calibri"/>
          <w:sz w:val="21"/>
        </w:rPr>
        <w:t>Status: Final portfolio case study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1. Gap analysis purpose</w:t>
      </w:r>
    </w:p>
    <w:p>
      <w:r>
        <w:rPr>
          <w:rFonts w:ascii="Calibri" w:hAnsi="Calibri"/>
          <w:sz w:val="21"/>
        </w:rPr>
        <w:t>Compare the current evidence and working process with the evidence quality required for a defensible management decision.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2. Gap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399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1399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Desired state</w:t>
            </w:r>
          </w:p>
        </w:tc>
        <w:tc>
          <w:tcPr>
            <w:tcW w:type="dxa" w:w="1399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Closure evidence</w:t>
            </w:r>
          </w:p>
        </w:tc>
        <w:tc>
          <w:tcPr>
            <w:tcW w:type="dxa" w:w="1399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399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399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</w:rPr>
              <w:t>G-01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Revenue/service data exist but are not customer-linked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Customer/order-level service + retention view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Joinable SLA, support and cancellation evidence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Analytics + Customer Success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Open</w:t>
            </w:r>
          </w:p>
        </w:tc>
      </w:tr>
      <w:tr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G-02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South service deterioration is visible but event detail is absent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Validated operational failure point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SLA breach/delivery event detail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Operations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Open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</w:rPr>
              <w:t>G-03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Commercial dimensions can be segmented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Absolute-impact explanation for declining pockets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Product/segment/channel context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Sales + Product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Open</w:t>
            </w:r>
          </w:p>
        </w:tc>
      </w:tr>
      <w:tr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G-04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KPI targets are not supplied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Approved targets and review thresholds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Business approval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Business Owner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  <w:shd w:val="clear" w:color="auto" w:fill="F6F4EC"/>
          </w:tcPr>
          <w:p>
            <w:r>
              <w:rPr>
                <w:rFonts w:ascii="Calibri" w:hAnsi="Calibri"/>
              </w:rPr>
              <w:t>Open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</w:rPr>
              <w:t>G-05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Recommendations can be produced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Approved action ownership and governance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Decision log / owner confirmation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Business Owner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</w:rPr>
              <w:t>Open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3. Closure sequence</w:t>
      </w:r>
    </w:p>
    <w:p>
      <w:pPr>
        <w:pStyle w:val="ListBullet"/>
      </w:pPr>
      <w:r>
        <w:rPr>
          <w:rFonts w:ascii="Calibri" w:hAnsi="Calibri"/>
          <w:sz w:val="21"/>
        </w:rPr>
        <w:t>Close customer-level retention evidence gap.</w:t>
      </w:r>
    </w:p>
    <w:p>
      <w:pPr>
        <w:pStyle w:val="ListBullet"/>
      </w:pPr>
      <w:r>
        <w:rPr>
          <w:rFonts w:ascii="Calibri" w:hAnsi="Calibri"/>
          <w:sz w:val="21"/>
        </w:rPr>
        <w:t>Diagnose South SLA/delivery failure point.</w:t>
      </w:r>
    </w:p>
    <w:p>
      <w:pPr>
        <w:pStyle w:val="ListBullet"/>
      </w:pPr>
      <w:r>
        <w:rPr>
          <w:rFonts w:ascii="Calibri" w:hAnsi="Calibri"/>
          <w:sz w:val="21"/>
        </w:rPr>
        <w:t>Quantify absolute-impact commercial pockets.</w:t>
      </w:r>
    </w:p>
    <w:p>
      <w:pPr>
        <w:pStyle w:val="ListBullet"/>
      </w:pPr>
      <w:r>
        <w:rPr>
          <w:rFonts w:ascii="Calibri" w:hAnsi="Calibri"/>
          <w:sz w:val="21"/>
        </w:rPr>
        <w:t>Approve KPI targets and governance.</w:t>
      </w:r>
    </w:p>
    <w:p>
      <w:pPr>
        <w:pStyle w:val="ListBullet"/>
      </w:pPr>
      <w:r>
        <w:rPr>
          <w:rFonts w:ascii="Calibri" w:hAnsi="Calibri"/>
          <w:sz w:val="21"/>
        </w:rPr>
        <w:t>Implement selected action and monitor outcome.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4. Gap closure acceptance</w:t>
      </w:r>
    </w:p>
    <w:p>
      <w:pPr>
        <w:pStyle w:val="ListBullet"/>
      </w:pPr>
      <w:r>
        <w:rPr>
          <w:rFonts w:ascii="Calibri" w:hAnsi="Calibri"/>
          <w:sz w:val="21"/>
        </w:rPr>
        <w:t>Source is identified.</w:t>
      </w:r>
    </w:p>
    <w:p>
      <w:pPr>
        <w:pStyle w:val="ListBullet"/>
      </w:pPr>
      <w:r>
        <w:rPr>
          <w:rFonts w:ascii="Calibri" w:hAnsi="Calibri"/>
          <w:sz w:val="21"/>
        </w:rPr>
        <w:t>Owner is confirmed.</w:t>
      </w:r>
    </w:p>
    <w:p>
      <w:pPr>
        <w:pStyle w:val="ListBullet"/>
      </w:pPr>
      <w:r>
        <w:rPr>
          <w:rFonts w:ascii="Calibri" w:hAnsi="Calibri"/>
          <w:sz w:val="21"/>
        </w:rPr>
        <w:t>Closure evidence is observable.</w:t>
      </w:r>
    </w:p>
    <w:p>
      <w:pPr>
        <w:pStyle w:val="ListBullet"/>
      </w:pPr>
      <w:r>
        <w:rPr>
          <w:rFonts w:ascii="Calibri" w:hAnsi="Calibri"/>
          <w:sz w:val="21"/>
        </w:rPr>
        <w:t>Result is reviewed by the business owner.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6F67"/>
        <w:sz w:val="16"/>
      </w:rPr>
      <w:t xml:space="preserve">Prepared with BizLens — evidence-based business analysis   |   Page </w:t>
    </w:r>
    <w:r>
      <w:fldChar w:fldCharType="begin"/>
      <w:instrText xml:space="preserve">PAGE</w:instrText>
      <w:fldChar w:fldCharType="separate"/>
      <w:t/>
      <w:fldChar w:fldCharType="end"/>
    </w:r>
    <w:r>
      <w:rPr>
        <w:color w:val="716F67"/>
        <w:sz w:val="16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C2AE"/>
      </w:pBdr>
      <w:jc w:val="right"/>
    </w:pPr>
    <w:r>
      <w:rPr>
        <w:color w:val="716F67"/>
        <w:sz w:val="17"/>
      </w:rPr>
      <w:t>09 Gap Analysis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