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Bdr>
          <w:bottom w:val="single" w:sz="10" w:space="4" w:color="4B5D3A"/>
        </w:pBdr>
        <w:jc w:val="center"/>
      </w:pPr>
    </w:p>
    <w:p>
      <w:pPr>
        <w:jc w:val="center"/>
      </w:pPr>
      <w:r>
        <w:rPr>
          <w:rFonts w:ascii="Georgia" w:hAnsi="Georgia"/>
          <w:b/>
          <w:color w:val="1F2A24"/>
          <w:sz w:val="56"/>
        </w:rPr>
        <w:t>10 Business Case</w:t>
      </w:r>
    </w:p>
    <w:p>
      <w:pPr>
        <w:jc w:val="center"/>
      </w:pPr>
      <w:r>
        <w:rPr>
          <w:rFonts w:ascii="Calibri" w:hAnsi="Calibri"/>
          <w:color w:val="4B5D3A"/>
          <w:sz w:val="26"/>
        </w:rPr>
        <w:t>Business Analysis Deliverable</w:t>
      </w:r>
    </w:p>
    <w:p>
      <w:pPr>
        <w:pBdr>
          <w:bottom w:val="single" w:sz="10" w:space="4" w:color="4B5D3A"/>
        </w:pBdr>
        <w:jc w:val="center"/>
      </w:pPr>
    </w:p>
    <w:p/>
    <w:p>
      <w:pPr>
        <w:jc w:val="center"/>
      </w:pPr>
      <w:r>
        <w:rPr>
          <w:rFonts w:ascii="Calibri" w:hAnsi="Calibri"/>
          <w:color w:val="5B584F"/>
          <w:sz w:val="21"/>
        </w:rPr>
        <w:t>Prepared: 12 September 2026</w:t>
      </w:r>
    </w:p>
    <w:p>
      <w:pPr>
        <w:jc w:val="center"/>
      </w:pPr>
      <w:r>
        <w:rPr>
          <w:rFonts w:ascii="Calibri" w:hAnsi="Calibri"/>
          <w:color w:val="5B584F"/>
          <w:sz w:val="21"/>
        </w:rPr>
        <w:t>Status: Final portfolio case study</w:t>
      </w:r>
    </w:p>
    <w:p>
      <w:pPr>
        <w:jc w:val="center"/>
      </w:pPr>
      <w:r>
        <w:rPr>
          <w:rFonts w:ascii="Calibri" w:hAnsi="Calibri"/>
          <w:color w:val="5B584F"/>
          <w:sz w:val="21"/>
        </w:rPr>
        <w:t>Classification: Business Confidential — internal use</w:t>
      </w:r>
    </w:p>
    <w:p>
      <w:r>
        <w:rPr>
          <w:rFonts w:ascii="Calibri" w:hAnsi="Calibri"/>
          <w:sz w:val="21"/>
        </w:rPr>
        <w:br w:type="page"/>
      </w:r>
    </w:p>
    <w:p>
      <w:pPr>
        <w:pStyle w:val="Heading1"/>
        <w:pBdr>
          <w:bottom w:val="single" w:sz="6" w:space="4" w:color="C9C2AE"/>
        </w:pBdr>
      </w:pPr>
      <w:r>
        <w:rPr>
          <w:rFonts w:ascii="Georgia" w:hAnsi="Georgia"/>
          <w:color w:val="1F2A24"/>
          <w:sz w:val="21"/>
        </w:rPr>
        <w:t>Contents</w:t>
      </w:r>
    </w:p>
    <w:p>
      <w:pPr>
        <w:pStyle w:val="ListBullet"/>
      </w:pPr>
      <w:r>
        <w:rPr>
          <w:rFonts w:ascii="Calibri" w:hAnsi="Calibri"/>
          <w:color w:val="3A3830"/>
          <w:sz w:val="21"/>
        </w:rPr>
        <w:t>Document control</w:t>
      </w:r>
    </w:p>
    <w:p>
      <w:pPr>
        <w:pStyle w:val="ListBullet"/>
      </w:pPr>
      <w:r>
        <w:rPr>
          <w:rFonts w:ascii="Calibri" w:hAnsi="Calibri"/>
          <w:color w:val="3A3830"/>
          <w:sz w:val="21"/>
        </w:rPr>
        <w:t>1. Decision summary</w:t>
      </w:r>
    </w:p>
    <w:p>
      <w:pPr>
        <w:pStyle w:val="ListBullet"/>
      </w:pPr>
      <w:r>
        <w:rPr>
          <w:rFonts w:ascii="Calibri" w:hAnsi="Calibri"/>
          <w:color w:val="3A3830"/>
          <w:sz w:val="21"/>
        </w:rPr>
        <w:t>2. Business problem</w:t>
      </w:r>
    </w:p>
    <w:p>
      <w:pPr>
        <w:pStyle w:val="ListBullet"/>
      </w:pPr>
      <w:r>
        <w:rPr>
          <w:rFonts w:ascii="Calibri" w:hAnsi="Calibri"/>
          <w:color w:val="3A3830"/>
          <w:sz w:val="21"/>
        </w:rPr>
        <w:t>3. Options</w:t>
      </w:r>
    </w:p>
    <w:p>
      <w:pPr>
        <w:pStyle w:val="ListBullet"/>
      </w:pPr>
      <w:r>
        <w:rPr>
          <w:rFonts w:ascii="Calibri" w:hAnsi="Calibri"/>
          <w:color w:val="3A3830"/>
          <w:sz w:val="21"/>
        </w:rPr>
        <w:t>4. Expected benefits</w:t>
      </w:r>
    </w:p>
    <w:p>
      <w:pPr>
        <w:pStyle w:val="ListBullet"/>
      </w:pPr>
      <w:r>
        <w:rPr>
          <w:rFonts w:ascii="Calibri" w:hAnsi="Calibri"/>
          <w:color w:val="3A3830"/>
          <w:sz w:val="21"/>
        </w:rPr>
        <w:t>5. Costs and assumptions</w:t>
      </w:r>
    </w:p>
    <w:p>
      <w:pPr>
        <w:pStyle w:val="ListBullet"/>
      </w:pPr>
      <w:r>
        <w:rPr>
          <w:rFonts w:ascii="Calibri" w:hAnsi="Calibri"/>
          <w:color w:val="3A3830"/>
          <w:sz w:val="21"/>
        </w:rPr>
        <w:t>6. Decision gates</w:t>
      </w:r>
    </w:p>
    <w:p>
      <w:r>
        <w:rPr>
          <w:rFonts w:ascii="Calibri" w:hAnsi="Calibri"/>
          <w:sz w:val="21"/>
        </w:rPr>
        <w:br w:type="page"/>
      </w:r>
    </w:p>
    <w:p>
      <w:pPr>
        <w:pStyle w:val="Heading1"/>
        <w:pBdr>
          <w:bottom w:val="single" w:sz="6" w:space="4" w:color="C9C2AE"/>
        </w:pBdr>
      </w:pPr>
      <w:r>
        <w:rPr>
          <w:rFonts w:ascii="Georgia" w:hAnsi="Georgia"/>
          <w:color w:val="1F2A24"/>
          <w:sz w:val="21"/>
        </w:rPr>
        <w:t>Document control</w:t>
      </w:r>
    </w:p>
    <w:p>
      <w:r>
        <w:rPr>
          <w:rFonts w:ascii="Calibri" w:hAnsi="Calibri"/>
          <w:sz w:val="21"/>
        </w:rPr>
        <w:t>Document ID: BC-001</w:t>
      </w:r>
    </w:p>
    <w:p>
      <w:r>
        <w:rPr>
          <w:rFonts w:ascii="Calibri" w:hAnsi="Calibri"/>
          <w:sz w:val="21"/>
        </w:rPr>
        <w:t>Version: 3.0</w:t>
      </w:r>
    </w:p>
    <w:p>
      <w:r>
        <w:rPr>
          <w:rFonts w:ascii="Calibri" w:hAnsi="Calibri"/>
          <w:sz w:val="21"/>
        </w:rPr>
        <w:t>Status: Final portfolio case study</w:t>
      </w:r>
    </w:p>
    <w:p>
      <w:pPr>
        <w:pStyle w:val="Heading1"/>
        <w:pBdr>
          <w:bottom w:val="single" w:sz="6" w:space="4" w:color="C9C2AE"/>
        </w:pBdr>
      </w:pPr>
      <w:r>
        <w:rPr>
          <w:rFonts w:ascii="Georgia" w:hAnsi="Georgia"/>
          <w:color w:val="1F2A24"/>
          <w:sz w:val="21"/>
        </w:rPr>
        <w:t>1. Decision summary</w:t>
      </w:r>
    </w:p>
    <w:p>
      <w:r>
        <w:rPr>
          <w:rFonts w:ascii="Calibri" w:hAnsi="Calibri"/>
          <w:sz w:val="21"/>
        </w:rPr>
        <w:t>The recommended course is a focused investigation and service-recovery programme rather than an immediate broad commercial intervention. This preserves optionality while the evidence gap is closed.</w:t>
      </w:r>
    </w:p>
    <w:p>
      <w:pPr>
        <w:pStyle w:val="Heading1"/>
        <w:pBdr>
          <w:bottom w:val="single" w:sz="6" w:space="4" w:color="C9C2AE"/>
        </w:pBdr>
      </w:pPr>
      <w:r>
        <w:rPr>
          <w:rFonts w:ascii="Georgia" w:hAnsi="Georgia"/>
          <w:color w:val="1F2A24"/>
          <w:sz w:val="21"/>
        </w:rPr>
        <w:t>2. Business problem</w:t>
      </w:r>
    </w:p>
    <w:p>
      <w:r>
        <w:rPr>
          <w:rFonts w:ascii="Calibri" w:hAnsi="Calibri"/>
          <w:sz w:val="21"/>
        </w:rPr>
        <w:t>South revenue declined 2.1% Q3→Q4 while SLA performance weakened and support pressure increased. Business context also raises cancellation concerns, but the connected dataset has only one cancellation.</w:t>
      </w:r>
    </w:p>
    <w:p>
      <w:pPr>
        <w:pStyle w:val="Heading1"/>
        <w:pBdr>
          <w:bottom w:val="single" w:sz="6" w:space="4" w:color="C9C2AE"/>
        </w:pBdr>
      </w:pPr>
      <w:r>
        <w:rPr>
          <w:rFonts w:ascii="Georgia" w:hAnsi="Georgia"/>
          <w:color w:val="1F2A24"/>
          <w:sz w:val="21"/>
        </w:rPr>
        <w:t>3. Options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4B5D3A"/>
          </w:tcPr>
          <w:p>
            <w:r>
              <w:rPr>
                <w:rFonts w:ascii="Calibri" w:hAnsi="Calibri"/>
                <w:b/>
                <w:color w:val="FFFFFF"/>
                <w:sz w:val="19"/>
              </w:rPr>
              <w:t>Option</w:t>
            </w:r>
          </w:p>
        </w:tc>
        <w:tc>
          <w:tcPr>
            <w:tcW w:type="dxa" w:w="1632"/>
            <w:shd w:val="clear" w:color="auto" w:fill="4B5D3A"/>
          </w:tcPr>
          <w:p>
            <w:r>
              <w:rPr>
                <w:rFonts w:ascii="Calibri" w:hAnsi="Calibri"/>
                <w:b/>
                <w:color w:val="FFFFFF"/>
                <w:sz w:val="19"/>
              </w:rPr>
              <w:t>Approach</w:t>
            </w:r>
          </w:p>
        </w:tc>
        <w:tc>
          <w:tcPr>
            <w:tcW w:type="dxa" w:w="1632"/>
            <w:shd w:val="clear" w:color="auto" w:fill="4B5D3A"/>
          </w:tcPr>
          <w:p>
            <w:r>
              <w:rPr>
                <w:rFonts w:ascii="Calibri" w:hAnsi="Calibri"/>
                <w:b/>
                <w:color w:val="FFFFFF"/>
                <w:sz w:val="19"/>
              </w:rPr>
              <w:t>Speed</w:t>
            </w:r>
          </w:p>
        </w:tc>
        <w:tc>
          <w:tcPr>
            <w:tcW w:type="dxa" w:w="1632"/>
            <w:shd w:val="clear" w:color="auto" w:fill="4B5D3A"/>
          </w:tcPr>
          <w:p>
            <w:r>
              <w:rPr>
                <w:rFonts w:ascii="Calibri" w:hAnsi="Calibri"/>
                <w:b/>
                <w:color w:val="FFFFFF"/>
                <w:sz w:val="19"/>
              </w:rPr>
              <w:t>Decision risk</w:t>
            </w:r>
          </w:p>
        </w:tc>
        <w:tc>
          <w:tcPr>
            <w:tcW w:type="dxa" w:w="1632"/>
            <w:shd w:val="clear" w:color="auto" w:fill="4B5D3A"/>
          </w:tcPr>
          <w:p>
            <w:r>
              <w:rPr>
                <w:rFonts w:ascii="Calibri" w:hAnsi="Calibri"/>
                <w:b/>
                <w:color w:val="FFFFFF"/>
                <w:sz w:val="19"/>
              </w:rPr>
              <w:t>Assessment</w:t>
            </w:r>
          </w:p>
        </w:tc>
        <w:tc>
          <w:tcPr>
            <w:tcW w:type="dxa" w:w="1632"/>
            <w:shd w:val="clear" w:color="auto" w:fill="4B5D3A"/>
          </w:tcPr>
          <w:p>
            <w:r>
              <w:rPr>
                <w:rFonts w:ascii="Calibri" w:hAnsi="Calibri"/>
                <w:b/>
                <w:color w:val="FFFFFF"/>
                <w:sz w:val="19"/>
              </w:rPr>
              <w:t>Reason</w:t>
            </w:r>
          </w:p>
        </w:tc>
      </w:tr>
      <w:tr>
        <w:tc>
          <w:tcPr>
            <w:tcW w:type="dxa" w:w="1632"/>
          </w:tcPr>
          <w:p>
            <w:r>
              <w:rPr>
                <w:rFonts w:ascii="Calibri" w:hAnsi="Calibri"/>
              </w:rPr>
              <w:t>A</w:t>
            </w:r>
          </w:p>
        </w:tc>
        <w:tc>
          <w:tcPr>
            <w:tcW w:type="dxa" w:w="1632"/>
          </w:tcPr>
          <w:p>
            <w:r>
              <w:rPr>
                <w:rFonts w:ascii="Calibri" w:hAnsi="Calibri"/>
              </w:rPr>
              <w:t>Immediate broad pricing/product intervention</w:t>
            </w:r>
          </w:p>
        </w:tc>
        <w:tc>
          <w:tcPr>
            <w:tcW w:type="dxa" w:w="1632"/>
          </w:tcPr>
          <w:p>
            <w:r>
              <w:rPr>
                <w:rFonts w:ascii="Calibri" w:hAnsi="Calibri"/>
              </w:rPr>
              <w:t>Fast</w:t>
            </w:r>
          </w:p>
        </w:tc>
        <w:tc>
          <w:tcPr>
            <w:tcW w:type="dxa" w:w="1632"/>
          </w:tcPr>
          <w:p>
            <w:r>
              <w:rPr>
                <w:rFonts w:ascii="Calibri" w:hAnsi="Calibri"/>
              </w:rPr>
              <w:t>High</w:t>
            </w:r>
          </w:p>
        </w:tc>
        <w:tc>
          <w:tcPr>
            <w:tcW w:type="dxa" w:w="1632"/>
          </w:tcPr>
          <w:p>
            <w:r>
              <w:rPr>
                <w:rFonts w:ascii="Calibri" w:hAnsi="Calibri"/>
              </w:rPr>
              <w:t>Not recommended</w:t>
            </w:r>
          </w:p>
        </w:tc>
        <w:tc>
          <w:tcPr>
            <w:tcW w:type="dxa" w:w="1632"/>
          </w:tcPr>
          <w:p>
            <w:r>
              <w:rPr>
                <w:rFonts w:ascii="Calibri" w:hAnsi="Calibri"/>
              </w:rPr>
              <w:t>Causal/commercial evidence is incomplete</w:t>
            </w:r>
          </w:p>
        </w:tc>
      </w:tr>
      <w:tr>
        <w:tc>
          <w:tcPr>
            <w:tcW w:type="dxa" w:w="1632"/>
            <w:shd w:val="clear" w:color="auto" w:fill="F6F4EC"/>
          </w:tcPr>
          <w:p>
            <w:r>
              <w:rPr>
                <w:rFonts w:ascii="Calibri" w:hAnsi="Calibri"/>
              </w:rPr>
              <w:t>B</w:t>
            </w:r>
          </w:p>
        </w:tc>
        <w:tc>
          <w:tcPr>
            <w:tcW w:type="dxa" w:w="1632"/>
            <w:shd w:val="clear" w:color="auto" w:fill="F6F4EC"/>
          </w:tcPr>
          <w:p>
            <w:r>
              <w:rPr>
                <w:rFonts w:ascii="Calibri" w:hAnsi="Calibri"/>
              </w:rPr>
              <w:t>Focused investigation + service recovery</w:t>
            </w:r>
          </w:p>
        </w:tc>
        <w:tc>
          <w:tcPr>
            <w:tcW w:type="dxa" w:w="1632"/>
            <w:shd w:val="clear" w:color="auto" w:fill="F6F4EC"/>
          </w:tcPr>
          <w:p>
            <w:r>
              <w:rPr>
                <w:rFonts w:ascii="Calibri" w:hAnsi="Calibri"/>
              </w:rPr>
              <w:t>Moderate</w:t>
            </w:r>
          </w:p>
        </w:tc>
        <w:tc>
          <w:tcPr>
            <w:tcW w:type="dxa" w:w="1632"/>
            <w:shd w:val="clear" w:color="auto" w:fill="F6F4EC"/>
          </w:tcPr>
          <w:p>
            <w:r>
              <w:rPr>
                <w:rFonts w:ascii="Calibri" w:hAnsi="Calibri"/>
              </w:rPr>
              <w:t>Lower</w:t>
            </w:r>
          </w:p>
        </w:tc>
        <w:tc>
          <w:tcPr>
            <w:tcW w:type="dxa" w:w="1632"/>
            <w:shd w:val="clear" w:color="auto" w:fill="F6F4EC"/>
          </w:tcPr>
          <w:p>
            <w:r>
              <w:rPr>
                <w:rFonts w:ascii="Calibri" w:hAnsi="Calibri"/>
              </w:rPr>
              <w:t>Recommended</w:t>
            </w:r>
          </w:p>
        </w:tc>
        <w:tc>
          <w:tcPr>
            <w:tcW w:type="dxa" w:w="1632"/>
            <w:shd w:val="clear" w:color="auto" w:fill="F6F4EC"/>
          </w:tcPr>
          <w:p>
            <w:r>
              <w:rPr>
                <w:rFonts w:ascii="Calibri" w:hAnsi="Calibri"/>
              </w:rPr>
              <w:t>Directly addresses evidence-backed priority</w:t>
            </w:r>
          </w:p>
        </w:tc>
      </w:tr>
      <w:tr>
        <w:tc>
          <w:tcPr>
            <w:tcW w:type="dxa" w:w="1632"/>
          </w:tcPr>
          <w:p>
            <w:r>
              <w:rPr>
                <w:rFonts w:ascii="Calibri" w:hAnsi="Calibri"/>
              </w:rPr>
              <w:t>C</w:t>
            </w:r>
          </w:p>
        </w:tc>
        <w:tc>
          <w:tcPr>
            <w:tcW w:type="dxa" w:w="1632"/>
          </w:tcPr>
          <w:p>
            <w:r>
              <w:rPr>
                <w:rFonts w:ascii="Calibri" w:hAnsi="Calibri"/>
              </w:rPr>
              <w:t>Wait without targeted action</w:t>
            </w:r>
          </w:p>
        </w:tc>
        <w:tc>
          <w:tcPr>
            <w:tcW w:type="dxa" w:w="1632"/>
          </w:tcPr>
          <w:p>
            <w:r>
              <w:rPr>
                <w:rFonts w:ascii="Calibri" w:hAnsi="Calibri"/>
              </w:rPr>
              <w:t>Slow</w:t>
            </w:r>
          </w:p>
        </w:tc>
        <w:tc>
          <w:tcPr>
            <w:tcW w:type="dxa" w:w="1632"/>
          </w:tcPr>
          <w:p>
            <w:r>
              <w:rPr>
                <w:rFonts w:ascii="Calibri" w:hAnsi="Calibri"/>
              </w:rPr>
              <w:t>High</w:t>
            </w:r>
          </w:p>
        </w:tc>
        <w:tc>
          <w:tcPr>
            <w:tcW w:type="dxa" w:w="1632"/>
          </w:tcPr>
          <w:p>
            <w:r>
              <w:rPr>
                <w:rFonts w:ascii="Calibri" w:hAnsi="Calibri"/>
              </w:rPr>
              <w:t>Fallback only</w:t>
            </w:r>
          </w:p>
        </w:tc>
        <w:tc>
          <w:tcPr>
            <w:tcW w:type="dxa" w:w="1632"/>
          </w:tcPr>
          <w:p>
            <w:r>
              <w:rPr>
                <w:rFonts w:ascii="Calibri" w:hAnsi="Calibri"/>
              </w:rPr>
              <w:t>Delays learning and recovery</w:t>
            </w:r>
          </w:p>
        </w:tc>
      </w:tr>
    </w:tbl>
    <w:p>
      <w:pPr>
        <w:pStyle w:val="Heading1"/>
        <w:pBdr>
          <w:bottom w:val="single" w:sz="6" w:space="4" w:color="C9C2AE"/>
        </w:pBdr>
      </w:pPr>
      <w:r>
        <w:rPr>
          <w:rFonts w:ascii="Georgia" w:hAnsi="Georgia"/>
          <w:color w:val="1F2A24"/>
          <w:sz w:val="21"/>
        </w:rPr>
        <w:t>4. Expected benefits</w:t>
      </w:r>
    </w:p>
    <w:p>
      <w:pPr>
        <w:pStyle w:val="ListBullet"/>
      </w:pPr>
      <w:r>
        <w:rPr>
          <w:rFonts w:ascii="Calibri" w:hAnsi="Calibri"/>
          <w:sz w:val="21"/>
        </w:rPr>
        <w:t>Faster identification of the operational failure point.</w:t>
      </w:r>
    </w:p>
    <w:p>
      <w:pPr>
        <w:pStyle w:val="ListBullet"/>
      </w:pPr>
      <w:r>
        <w:rPr>
          <w:rFonts w:ascii="Calibri" w:hAnsi="Calibri"/>
          <w:sz w:val="21"/>
        </w:rPr>
        <w:t>Better targeting of commercial intervention.</w:t>
      </w:r>
    </w:p>
    <w:p>
      <w:pPr>
        <w:pStyle w:val="ListBullet"/>
      </w:pPr>
      <w:r>
        <w:rPr>
          <w:rFonts w:ascii="Calibri" w:hAnsi="Calibri"/>
          <w:sz w:val="21"/>
        </w:rPr>
        <w:t>Reduced risk of acting on an unsupported causal assumption.</w:t>
      </w:r>
    </w:p>
    <w:p>
      <w:pPr>
        <w:pStyle w:val="ListBullet"/>
      </w:pPr>
      <w:r>
        <w:rPr>
          <w:rFonts w:ascii="Calibri" w:hAnsi="Calibri"/>
          <w:sz w:val="21"/>
        </w:rPr>
        <w:t>Clearer ownership and KPI governance.</w:t>
      </w:r>
    </w:p>
    <w:p>
      <w:pPr>
        <w:pStyle w:val="Heading1"/>
        <w:pBdr>
          <w:bottom w:val="single" w:sz="6" w:space="4" w:color="C9C2AE"/>
        </w:pBdr>
      </w:pPr>
      <w:r>
        <w:rPr>
          <w:rFonts w:ascii="Georgia" w:hAnsi="Georgia"/>
          <w:color w:val="1F2A24"/>
          <w:sz w:val="21"/>
        </w:rPr>
        <w:t>5. Costs and assumptions</w:t>
      </w:r>
    </w:p>
    <w:p>
      <w:r>
        <w:rPr>
          <w:rFonts w:ascii="Calibri" w:hAnsi="Calibri"/>
          <w:sz w:val="21"/>
        </w:rPr>
        <w:t>Expected effort is primarily analyst, Operations, Customer Success, Sales and Product time plus access to the required evidence. Monetary cost, savings and ROI are intentionally not estimated because the source evidence does not provide approved assumptions.</w:t>
      </w:r>
    </w:p>
    <w:p>
      <w:pPr>
        <w:pStyle w:val="Heading1"/>
        <w:pBdr>
          <w:bottom w:val="single" w:sz="6" w:space="4" w:color="C9C2AE"/>
        </w:pBdr>
      </w:pPr>
      <w:r>
        <w:rPr>
          <w:rFonts w:ascii="Georgia" w:hAnsi="Georgia"/>
          <w:color w:val="1F2A24"/>
          <w:sz w:val="21"/>
        </w:rPr>
        <w:t>6. Decision gates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4B5D3A"/>
          </w:tcPr>
          <w:p>
            <w:r>
              <w:rPr>
                <w:rFonts w:ascii="Calibri" w:hAnsi="Calibri"/>
                <w:b/>
                <w:color w:val="FFFFFF"/>
                <w:sz w:val="19"/>
              </w:rPr>
              <w:t>Gate</w:t>
            </w:r>
          </w:p>
        </w:tc>
        <w:tc>
          <w:tcPr>
            <w:tcW w:type="dxa" w:w="2448"/>
            <w:shd w:val="clear" w:color="auto" w:fill="4B5D3A"/>
          </w:tcPr>
          <w:p>
            <w:r>
              <w:rPr>
                <w:rFonts w:ascii="Calibri" w:hAnsi="Calibri"/>
                <w:b/>
                <w:color w:val="FFFFFF"/>
                <w:sz w:val="19"/>
              </w:rPr>
              <w:t>Evidence required</w:t>
            </w:r>
          </w:p>
        </w:tc>
        <w:tc>
          <w:tcPr>
            <w:tcW w:type="dxa" w:w="2448"/>
            <w:shd w:val="clear" w:color="auto" w:fill="4B5D3A"/>
          </w:tcPr>
          <w:p>
            <w:r>
              <w:rPr>
                <w:rFonts w:ascii="Calibri" w:hAnsi="Calibri"/>
                <w:b/>
                <w:color w:val="FFFFFF"/>
                <w:sz w:val="19"/>
              </w:rPr>
              <w:t>Decision owner</w:t>
            </w:r>
          </w:p>
        </w:tc>
        <w:tc>
          <w:tcPr>
            <w:tcW w:type="dxa" w:w="2448"/>
            <w:shd w:val="clear" w:color="auto" w:fill="4B5D3A"/>
          </w:tcPr>
          <w:p>
            <w:r>
              <w:rPr>
                <w:rFonts w:ascii="Calibri" w:hAnsi="Calibri"/>
                <w:b/>
                <w:color w:val="FFFFFF"/>
                <w:sz w:val="19"/>
              </w:rPr>
              <w:t>Decision</w:t>
            </w:r>
          </w:p>
        </w:tc>
      </w:tr>
      <w:tr>
        <w:tc>
          <w:tcPr>
            <w:tcW w:type="dxa" w:w="2448"/>
          </w:tcPr>
          <w:p>
            <w:r>
              <w:rPr>
                <w:rFonts w:ascii="Calibri" w:hAnsi="Calibri"/>
              </w:rPr>
              <w:t>Gate 1</w:t>
            </w:r>
          </w:p>
        </w:tc>
        <w:tc>
          <w:tcPr>
            <w:tcW w:type="dxa" w:w="2448"/>
          </w:tcPr>
          <w:p>
            <w:r>
              <w:rPr>
                <w:rFonts w:ascii="Calibri" w:hAnsi="Calibri"/>
              </w:rPr>
              <w:t>Customer/order-level retention evidence obtained</w:t>
            </w:r>
          </w:p>
        </w:tc>
        <w:tc>
          <w:tcPr>
            <w:tcW w:type="dxa" w:w="2448"/>
          </w:tcPr>
          <w:p>
            <w:r>
              <w:rPr>
                <w:rFonts w:ascii="Calibri" w:hAnsi="Calibri"/>
              </w:rPr>
              <w:t>Business Owner</w:t>
            </w:r>
          </w:p>
        </w:tc>
        <w:tc>
          <w:tcPr>
            <w:tcW w:type="dxa" w:w="2448"/>
          </w:tcPr>
          <w:p>
            <w:r>
              <w:rPr>
                <w:rFonts w:ascii="Calibri" w:hAnsi="Calibri"/>
              </w:rPr>
              <w:t>Proceed / hold</w:t>
            </w:r>
          </w:p>
        </w:tc>
      </w:tr>
      <w:tr>
        <w:tc>
          <w:tcPr>
            <w:tcW w:type="dxa" w:w="2448"/>
            <w:shd w:val="clear" w:color="auto" w:fill="F6F4EC"/>
          </w:tcPr>
          <w:p>
            <w:r>
              <w:rPr>
                <w:rFonts w:ascii="Calibri" w:hAnsi="Calibri"/>
              </w:rPr>
              <w:t>Gate 2</w:t>
            </w:r>
          </w:p>
        </w:tc>
        <w:tc>
          <w:tcPr>
            <w:tcW w:type="dxa" w:w="2448"/>
            <w:shd w:val="clear" w:color="auto" w:fill="F6F4EC"/>
          </w:tcPr>
          <w:p>
            <w:r>
              <w:rPr>
                <w:rFonts w:ascii="Calibri" w:hAnsi="Calibri"/>
              </w:rPr>
              <w:t>South operational cause validated</w:t>
            </w:r>
          </w:p>
        </w:tc>
        <w:tc>
          <w:tcPr>
            <w:tcW w:type="dxa" w:w="2448"/>
            <w:shd w:val="clear" w:color="auto" w:fill="F6F4EC"/>
          </w:tcPr>
          <w:p>
            <w:r>
              <w:rPr>
                <w:rFonts w:ascii="Calibri" w:hAnsi="Calibri"/>
              </w:rPr>
              <w:t>Operations + Business Owner</w:t>
            </w:r>
          </w:p>
        </w:tc>
        <w:tc>
          <w:tcPr>
            <w:tcW w:type="dxa" w:w="2448"/>
            <w:shd w:val="clear" w:color="auto" w:fill="F6F4EC"/>
          </w:tcPr>
          <w:p>
            <w:r>
              <w:rPr>
                <w:rFonts w:ascii="Calibri" w:hAnsi="Calibri"/>
              </w:rPr>
              <w:t>Recover / investigate further</w:t>
            </w:r>
          </w:p>
        </w:tc>
      </w:tr>
      <w:tr>
        <w:tc>
          <w:tcPr>
            <w:tcW w:type="dxa" w:w="2448"/>
          </w:tcPr>
          <w:p>
            <w:r>
              <w:rPr>
                <w:rFonts w:ascii="Calibri" w:hAnsi="Calibri"/>
              </w:rPr>
              <w:t>Gate 3</w:t>
            </w:r>
          </w:p>
        </w:tc>
        <w:tc>
          <w:tcPr>
            <w:tcW w:type="dxa" w:w="2448"/>
          </w:tcPr>
          <w:p>
            <w:r>
              <w:rPr>
                <w:rFonts w:ascii="Calibri" w:hAnsi="Calibri"/>
              </w:rPr>
              <w:t>Highest-impact commercial pocket quantified</w:t>
            </w:r>
          </w:p>
        </w:tc>
        <w:tc>
          <w:tcPr>
            <w:tcW w:type="dxa" w:w="2448"/>
          </w:tcPr>
          <w:p>
            <w:r>
              <w:rPr>
                <w:rFonts w:ascii="Calibri" w:hAnsi="Calibri"/>
              </w:rPr>
              <w:t>Sales + Product</w:t>
            </w:r>
          </w:p>
        </w:tc>
        <w:tc>
          <w:tcPr>
            <w:tcW w:type="dxa" w:w="2448"/>
          </w:tcPr>
          <w:p>
            <w:r>
              <w:rPr>
                <w:rFonts w:ascii="Calibri" w:hAnsi="Calibri"/>
              </w:rPr>
              <w:t>Targeted intervention / monitor</w:t>
            </w:r>
          </w:p>
        </w:tc>
      </w:tr>
      <w:tr>
        <w:tc>
          <w:tcPr>
            <w:tcW w:type="dxa" w:w="2448"/>
            <w:shd w:val="clear" w:color="auto" w:fill="F6F4EC"/>
          </w:tcPr>
          <w:p>
            <w:r>
              <w:rPr>
                <w:rFonts w:ascii="Calibri" w:hAnsi="Calibri"/>
              </w:rPr>
              <w:t>Gate 4</w:t>
            </w:r>
          </w:p>
        </w:tc>
        <w:tc>
          <w:tcPr>
            <w:tcW w:type="dxa" w:w="2448"/>
            <w:shd w:val="clear" w:color="auto" w:fill="F6F4EC"/>
          </w:tcPr>
          <w:p>
            <w:r>
              <w:rPr>
                <w:rFonts w:ascii="Calibri" w:hAnsi="Calibri"/>
              </w:rPr>
              <w:t>Target and owner approved</w:t>
            </w:r>
          </w:p>
        </w:tc>
        <w:tc>
          <w:tcPr>
            <w:tcW w:type="dxa" w:w="2448"/>
            <w:shd w:val="clear" w:color="auto" w:fill="F6F4EC"/>
          </w:tcPr>
          <w:p>
            <w:r>
              <w:rPr>
                <w:rFonts w:ascii="Calibri" w:hAnsi="Calibri"/>
              </w:rPr>
              <w:t>Business Owner</w:t>
            </w:r>
          </w:p>
        </w:tc>
        <w:tc>
          <w:tcPr>
            <w:tcW w:type="dxa" w:w="2448"/>
            <w:shd w:val="clear" w:color="auto" w:fill="F6F4EC"/>
          </w:tcPr>
          <w:p>
            <w:r>
              <w:rPr>
                <w:rFonts w:ascii="Calibri" w:hAnsi="Calibri"/>
              </w:rPr>
              <w:t>Implement / defer</w:t>
            </w:r>
          </w:p>
        </w:tc>
      </w:tr>
    </w:tbl>
    <w:sectPr w:rsidR="00FC693F" w:rsidRPr="0006063C" w:rsidSect="00034616">
      <w:headerReference w:type="default" r:id="rId9"/>
      <w:footerReference w:type="default" r:id="rId10"/>
      <w:headerReference w:type="first" r:id="rId11"/>
      <w:footerReference w:type="first" r:id="rId12"/>
      <w:pgSz w:w="12240" w:h="15840"/>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6F67"/>
        <w:sz w:val="16"/>
      </w:rPr>
      <w:t xml:space="preserve">Prepared with BizLens — evidence-based business analysis   |   Page </w:t>
    </w:r>
    <w:r>
      <w:fldChar w:fldCharType="begin"/>
      <w:instrText xml:space="preserve">PAGE</w:instrText>
      <w:fldChar w:fldCharType="separate"/>
      <w:t/>
      <w:fldChar w:fldCharType="end"/>
    </w:r>
    <w:r>
      <w:rPr>
        <w:color w:val="716F67"/>
        <w:sz w:val="16"/>
      </w:rPr>
      <w:t xml:space="preserve"> of </w:t>
    </w:r>
    <w:r>
      <w:fldChar w:fldCharType="begin"/>
      <w:instrText xml:space="preserve">NUMPAGES</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9C2AE"/>
      </w:pBdr>
      <w:jc w:val="right"/>
    </w:pPr>
    <w:r>
      <w:rPr>
        <w:color w:val="716F67"/>
        <w:sz w:val="17"/>
      </w:rPr>
      <w:t>10 Business Case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