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FORM ‘A’</w:t>
      </w:r>
    </w:p>
    <w:p>
      <w:pPr>
        <w:jc w:val="center"/>
      </w:pPr>
      <w:r>
        <w:rPr>
          <w:b/>
          <w:sz w:val="28"/>
        </w:rPr>
        <w:t>MEDIATION APPLICATION FORM</w:t>
      </w:r>
    </w:p>
    <w:p>
      <w:pPr>
        <w:jc w:val="center"/>
      </w:pPr>
      <w:r>
        <w:rPr>
          <w:b w:val="0"/>
          <w:sz w:val="22"/>
        </w:rPr>
        <w:t>[REFER RULE 3(1)]</w:t>
      </w:r>
    </w:p>
    <w:p>
      <w:pPr>
        <w:jc w:val="center"/>
      </w:pPr>
      <w:r>
        <w:rPr>
          <w:b w:val="0"/>
          <w:sz w:val="24"/>
        </w:rPr>
        <w:t>Mumbai District Legal Services Authority</w:t>
      </w:r>
    </w:p>
    <w:p>
      <w:pPr>
        <w:jc w:val="center"/>
      </w:pPr>
      <w:r>
        <w:rPr>
          <w:b w:val="0"/>
          <w:sz w:val="24"/>
        </w:rPr>
        <w:t>City Civil Court, Mumbai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0"/>
            <w:gridSpan w:val="4"/>
          </w:tcPr>
          <w:p>
            <w:r>
              <w:rPr>
                <w:b/>
              </w:rPr>
              <w:t>DETAILS OF PARTIES:</w:t>
            </w:r>
          </w:p>
        </w:tc>
      </w:tr>
      <w:tr>
        <w:tc>
          <w:tcPr>
            <w:tcW w:type="dxa" w:w="2556"/>
            <w:vMerge w:val="restart"/>
            <w:vAlign w:val="center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Name of</w:t>
            </w:r>
          </w:p>
        </w:tc>
        <w:tc>
          <w:tcPr>
            <w:tcW w:type="dxa" w:w="2556"/>
          </w:tcPr>
          <w:p>
            <w:r>
              <w:t>Applicant</w:t>
            </w:r>
          </w:p>
        </w:tc>
        <w:tc>
          <w:tcPr>
            <w:tcW w:type="dxa" w:w="2556"/>
          </w:tcPr>
          <w:p>
            <w:r>
              <w:t>{{client_name}}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  <w:vMerge w:val="restart"/>
            <w:vAlign w:val="center"/>
          </w:tcPr>
          <w:p>
            <w:r>
              <w:t>Address</w:t>
            </w:r>
          </w:p>
          <w:p>
            <w:r/>
          </w:p>
        </w:tc>
        <w:tc>
          <w:tcPr>
            <w:tcW w:type="dxa" w:w="2556"/>
          </w:tcPr>
          <w:p>
            <w:r>
              <w:t>REGISTERED ADDRESS:</w:t>
            </w:r>
          </w:p>
        </w:tc>
        <w:tc>
          <w:tcPr>
            <w:tcW w:type="dxa" w:w="2556"/>
          </w:tcPr>
          <w:p>
            <w:r>
              <w:t>{{branch_address}}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>
              <w:t>CORRESPONDENCE BRANCH ADDRESS:</w:t>
            </w:r>
          </w:p>
        </w:tc>
        <w:tc>
          <w:tcPr>
            <w:tcW w:type="dxa" w:w="2556"/>
          </w:tcPr>
          <w:p>
            <w:r>
              <w:t>{{branch_address}}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Telephone No.</w:t>
            </w:r>
          </w:p>
        </w:tc>
        <w:tc>
          <w:tcPr>
            <w:tcW w:type="dxa" w:w="2556"/>
          </w:tcPr>
          <w:p>
            <w:r>
              <w:t>{{mobile}}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Mobile No.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Email ID</w:t>
            </w:r>
          </w:p>
        </w:tc>
        <w:tc>
          <w:tcPr>
            <w:tcW w:type="dxa" w:w="2556"/>
          </w:tcPr>
          <w:p>
            <w:r>
              <w:t>info@kslegal.co.in</w:t>
            </w:r>
          </w:p>
        </w:tc>
      </w:tr>
      <w:tr>
        <w:tc>
          <w:tcPr>
            <w:tcW w:type="dxa" w:w="10224"/>
            <w:gridSpan w:val="4"/>
          </w:tcPr>
          <w:p>
            <w:r>
              <w:rPr>
                <w:b/>
              </w:rPr>
              <w:t>2   Name, Address and Contact details of Opposite Party:</w:t>
            </w:r>
          </w:p>
        </w:tc>
      </w:tr>
      <w:tr>
        <w:tc>
          <w:tcPr>
            <w:tcW w:type="dxa" w:w="2556"/>
            <w:vMerge w:val="restart"/>
            <w:vAlign w:val="center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Name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{{customer_name}}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  <w:vMerge w:val="restart"/>
            <w:vAlign w:val="center"/>
          </w:tcPr>
          <w:p>
            <w:r>
              <w:t>Address</w:t>
            </w:r>
          </w:p>
          <w:p>
            <w:r/>
          </w:p>
        </w:tc>
        <w:tc>
          <w:tcPr>
            <w:tcW w:type="dxa" w:w="2556"/>
          </w:tcPr>
          <w:p>
            <w:r>
              <w:t>REGISTERED ADDRESS: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>
              <w:t>CORRESPONDENCE ADDRESS: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Telephone No.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Mobile No.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  <w:vMerge/>
          </w:tcPr>
          <w:p/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Email ID</w:t>
            </w:r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10224"/>
            <w:gridSpan w:val="4"/>
          </w:tcPr>
          <w:p>
            <w:r>
              <w:rPr>
                <w:b/>
              </w:rPr>
              <w:t>DETAILS OF DISPUTE:</w:t>
            </w:r>
          </w:p>
        </w:tc>
      </w:tr>
      <w:tr>
        <w:tc>
          <w:tcPr>
            <w:tcW w:type="dxa" w:w="10224"/>
            <w:gridSpan w:val="4"/>
          </w:tcPr>
          <w:p>
            <w:r>
              <w:rPr>
                <w:b/>
              </w:rPr>
              <w:t>THE COMM. COURTS (PRE-INSTITUTION SETTLEMENT) RULES, 2018</w:t>
            </w:r>
          </w:p>
        </w:tc>
      </w:tr>
      <w:tr>
        <w:tc>
          <w:tcPr>
            <w:tcW w:type="dxa" w:w="10224"/>
            <w:gridSpan w:val="4"/>
          </w:tcPr>
          <w:p>
            <w:r>
              <w:rPr>
                <w:b/>
              </w:rPr>
              <w:t>Nature of disputes as per section 2(1)(c) of the Commercial Courts Act, 2015 (4 of 2016):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