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8"/>
          <w:szCs w:val="48"/>
        </w:rPr>
        <w:t xml:space="preserve">MEDICAL INSURANCE COST</w:t>
      </w:r>
    </w:p>
    <w:p>
      <w:pPr>
        <w:spacing w:after="300"/>
        <w:jc w:val="center"/>
      </w:pPr>
      <w:r>
        <w:rPr>
          <w:b/>
          <w:bCs/>
          <w:color w:val="4C72B0"/>
          <w:sz w:val="40"/>
          <w:szCs w:val="40"/>
        </w:rPr>
        <w:t xml:space="preserve">PREDICTION — DATA ANALYSIS REPORT</w:t>
      </w:r>
    </w:p>
    <w:p>
      <w:pPr>
        <w:spacing w:after="60" w:before="200"/>
        <w:jc w:val="center"/>
      </w:pPr>
      <w:r>
        <w:rPr>
          <w:i/>
          <w:iCs/>
          <w:color w:val="595959"/>
          <w:sz w:val="24"/>
          <w:szCs w:val="24"/>
        </w:rPr>
        <w:t xml:space="preserve">Exploratory Data Analysis, Hypothesis Testing &amp; Regression Modeling</w:t>
      </w:r>
    </w:p>
    <w:p>
      <w:pPr>
        <w:spacing w:before="700"/>
        <w:jc w:val="center"/>
      </w:pPr>
      <w:r>
        <w:rPr>
          <w:color w:val="595959"/>
          <w:sz w:val="20"/>
          <w:szCs w:val="20"/>
        </w:rPr>
        <w:t xml:space="preserve">Dataset: Insurance_Datasets.csv  |  1,338 records  ·  7 features</w:t>
      </w:r>
    </w:p>
    <w:p>
      <w:pPr>
        <w:spacing w:before="100"/>
        <w:jc w:val="center"/>
      </w:pPr>
      <w:r>
        <w:rPr>
          <w:color w:val="595959"/>
          <w:sz w:val="20"/>
          <w:szCs w:val="20"/>
        </w:rPr>
        <w:t xml:space="preserve">Report generated: August 2026</w:t>
      </w:r>
    </w:p>
    <w:p>
      <w:r>
        <w:br w:type="page"/>
      </w:r>
    </w:p>
    <w:p>
      <w:pPr>
        <w:pStyle w:val="Heading1"/>
        <w:pBdr>
          <w:bottom w:val="single" w:color="1F3864" w:sz="6" w:space="4"/>
        </w:pBdr>
        <w:spacing w:after="160" w:before="360"/>
      </w:pPr>
      <w:r>
        <w:rPr>
          <w:b/>
          <w:bCs/>
          <w:color w:val="1F3864"/>
          <w:sz w:val="30"/>
          <w:szCs w:val="30"/>
        </w:rPr>
        <w:t xml:space="preserve">1. Executive Summary</w:t>
      </w:r>
    </w:p>
    <w:p>
      <w:pPr>
        <w:spacing w:after="160" w:line="300"/>
      </w:pPr>
      <w:r>
        <w:rPr>
          <w:color w:val="222222"/>
          <w:sz w:val="22"/>
          <w:szCs w:val="22"/>
        </w:rPr>
        <w:t xml:space="preserve">This report presents an end-to-end data analysis of a medical insurance dataset (1,338 records, 7 attributes) with the goal of understanding what drives individual insurance charges and building a model to predict them. The analysis follows a full workflow: data understanding, exploratory analysis, statistical hypothesis testing, feature engineering, and comparison of four regression models.</w:t>
      </w:r>
    </w:p>
    <w:p>
      <w:pPr>
        <w:spacing w:after="160" w:line="300"/>
      </w:pPr>
      <w:r>
        <w:rPr>
          <w:color w:val="222222"/>
          <w:sz w:val="22"/>
          <w:szCs w:val="22"/>
        </w:rPr>
        <w:t xml:space="preserve">Key findings:</w:t>
      </w:r>
    </w:p>
    <w:p>
      <w:pPr>
        <w:pStyle w:val="ListParagraph"/>
        <w:numPr>
          <w:ilvl w:val="0"/>
          <w:numId w:val="2"/>
        </w:numPr>
        <w:spacing w:after="90" w:line="280"/>
      </w:pPr>
      <w:r>
        <w:rPr>
          <w:color w:val="222222"/>
          <w:sz w:val="22"/>
          <w:szCs w:val="22"/>
        </w:rPr>
        <w:t xml:space="preserve">Smoking status is by far the strongest driver of insurance cost — smokers pay dramatically more than non-smokers, and the difference is statistically significant (t = 46.66, p &lt; 0.001).</w:t>
      </w:r>
    </w:p>
    <w:p>
      <w:pPr>
        <w:pStyle w:val="ListParagraph"/>
        <w:numPr>
          <w:ilvl w:val="0"/>
          <w:numId w:val="2"/>
        </w:numPr>
        <w:spacing w:after="90" w:line="280"/>
      </w:pPr>
      <w:r>
        <w:rPr>
          <w:color w:val="222222"/>
          <w:sz w:val="22"/>
          <w:szCs w:val="22"/>
        </w:rPr>
        <w:t xml:space="preserve">Age and BMI both show a positive relationship with charges: costs rise steadily with age and increase for higher BMI values (Pearson r = 0.198, p &lt; 0.001 for BMI).</w:t>
      </w:r>
    </w:p>
    <w:p>
      <w:pPr>
        <w:pStyle w:val="ListParagraph"/>
        <w:numPr>
          <w:ilvl w:val="0"/>
          <w:numId w:val="2"/>
        </w:numPr>
        <w:spacing w:after="90" w:line="280"/>
      </w:pPr>
      <w:r>
        <w:rPr>
          <w:color w:val="222222"/>
          <w:sz w:val="22"/>
          <w:szCs w:val="22"/>
        </w:rPr>
        <w:t xml:space="preserve">Number of children and region have only a weak influence on charges compared to smoking, age, and BMI.</w:t>
      </w:r>
    </w:p>
    <w:p>
      <w:pPr>
        <w:pStyle w:val="ListParagraph"/>
        <w:numPr>
          <w:ilvl w:val="0"/>
          <w:numId w:val="2"/>
        </w:numPr>
        <w:spacing w:after="90" w:line="280"/>
      </w:pPr>
      <w:r>
        <w:rPr>
          <w:color w:val="222222"/>
          <w:sz w:val="22"/>
          <w:szCs w:val="22"/>
        </w:rPr>
        <w:t xml:space="preserve">Charges are strongly right-skewed (a small share of customers drive very high costs), so a log transformation was applied to the target before modeling.</w:t>
      </w:r>
    </w:p>
    <w:p>
      <w:pPr>
        <w:pStyle w:val="ListParagraph"/>
        <w:numPr>
          <w:ilvl w:val="0"/>
          <w:numId w:val="2"/>
        </w:numPr>
        <w:spacing w:after="90" w:line="280"/>
      </w:pPr>
      <w:r>
        <w:rPr>
          <w:color w:val="222222"/>
          <w:sz w:val="22"/>
          <w:szCs w:val="22"/>
        </w:rPr>
        <w:t xml:space="preserve">Among four models compared, Gradient Boosting performed best (R² = 0.834 on log-charges), followed by XGBoost (0.825) and Random Forest (0.806); Linear Regression was the weakest (0.772).</w:t>
      </w:r>
    </w:p>
    <w:p>
      <w:pPr>
        <w:pStyle w:val="Heading1"/>
        <w:pBdr>
          <w:bottom w:val="single" w:color="1F3864" w:sz="6" w:space="4"/>
        </w:pBdr>
        <w:spacing w:after="160" w:before="360"/>
      </w:pPr>
      <w:r>
        <w:rPr>
          <w:b/>
          <w:bCs/>
          <w:color w:val="1F3864"/>
          <w:sz w:val="30"/>
          <w:szCs w:val="30"/>
        </w:rPr>
        <w:t xml:space="preserve">2. About the Dataset</w:t>
      </w:r>
    </w:p>
    <w:p>
      <w:pPr>
        <w:spacing w:after="160" w:line="300"/>
      </w:pPr>
      <w:r>
        <w:rPr>
          <w:color w:val="222222"/>
          <w:sz w:val="22"/>
          <w:szCs w:val="22"/>
        </w:rPr>
        <w:t xml:space="preserve">The dataset contains structured medical insurance records for 1,338 individuals in the United States, with the target variable charges representing the individual medical costs billed by health insurance.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00"/>
      </w:tblGrid>
      <w:tr>
        <w:trPr>
          <w:tblHeader/>
        </w:trPr>
        <w:tc>
          <w:tcPr>
            <w:tcW w:type="dxa" w:w="1600"/>
            <w:shd w:fill="1F3864" w:val="clear"/>
            <w:tcMar>
              <w:top w:type="dxa" w:w="100"/>
              <w:left w:type="dxa" w:w="120"/>
              <w:bottom w:type="dxa" w:w="100"/>
              <w:right w:type="dxa" w:w="120"/>
            </w:tcMar>
          </w:tcPr>
          <w:p>
            <w:r>
              <w:rPr>
                <w:b/>
                <w:bCs/>
                <w:color w:val="FFFFFF"/>
                <w:sz w:val="20"/>
                <w:szCs w:val="20"/>
              </w:rPr>
              <w:t xml:space="preserve">Column</w:t>
            </w:r>
          </w:p>
        </w:tc>
        <w:tc>
          <w:tcPr>
            <w:tcW w:type="dxa" w:w="1800"/>
            <w:shd w:fill="1F3864" w:val="clear"/>
            <w:tcMar>
              <w:top w:type="dxa" w:w="100"/>
              <w:left w:type="dxa" w:w="120"/>
              <w:bottom w:type="dxa" w:w="100"/>
              <w:right w:type="dxa" w:w="120"/>
            </w:tcMar>
          </w:tcPr>
          <w:p>
            <w:r>
              <w:rPr>
                <w:b/>
                <w:bCs/>
                <w:color w:val="FFFFFF"/>
                <w:sz w:val="20"/>
                <w:szCs w:val="20"/>
              </w:rPr>
              <w:t xml:space="preserve">Type</w:t>
            </w:r>
          </w:p>
        </w:tc>
        <w:tc>
          <w:tcPr>
            <w:tcW w:type="dxa" w:w="5600"/>
            <w:shd w:fill="1F3864" w:val="clear"/>
            <w:tcMar>
              <w:top w:type="dxa" w:w="100"/>
              <w:left w:type="dxa" w:w="120"/>
              <w:bottom w:type="dxa" w:w="100"/>
              <w:right w:type="dxa" w:w="120"/>
            </w:tcMar>
          </w:tcPr>
          <w:p>
            <w:r>
              <w:rPr>
                <w:b/>
                <w:bCs/>
                <w:color w:val="FFFFFF"/>
                <w:sz w:val="20"/>
                <w:szCs w:val="20"/>
              </w:rPr>
              <w:t xml:space="preserve">Description</w:t>
            </w:r>
          </w:p>
        </w:tc>
      </w:tr>
      <w:tr>
        <w:tc>
          <w:tcPr>
            <w:tcW w:type="dxa" w:w="1600"/>
            <w:shd w:fill="FFFFFF" w:val="clear"/>
            <w:tcMar>
              <w:top w:type="dxa" w:w="90"/>
              <w:left w:type="dxa" w:w="120"/>
              <w:bottom w:type="dxa" w:w="90"/>
              <w:right w:type="dxa" w:w="120"/>
            </w:tcMar>
          </w:tcPr>
          <w:p>
            <w:r>
              <w:rPr>
                <w:color w:val="222222"/>
                <w:sz w:val="20"/>
                <w:szCs w:val="20"/>
              </w:rPr>
              <w:t xml:space="preserve">age</w:t>
            </w:r>
          </w:p>
        </w:tc>
        <w:tc>
          <w:tcPr>
            <w:tcW w:type="dxa" w:w="1800"/>
            <w:shd w:fill="FFFFFF" w:val="clear"/>
            <w:tcMar>
              <w:top w:type="dxa" w:w="90"/>
              <w:left w:type="dxa" w:w="120"/>
              <w:bottom w:type="dxa" w:w="90"/>
              <w:right w:type="dxa" w:w="120"/>
            </w:tcMar>
          </w:tcPr>
          <w:p>
            <w:r>
              <w:rPr>
                <w:color w:val="222222"/>
                <w:sz w:val="20"/>
                <w:szCs w:val="20"/>
              </w:rPr>
              <w:t xml:space="preserve">Numeric</w:t>
            </w:r>
          </w:p>
        </w:tc>
        <w:tc>
          <w:tcPr>
            <w:tcW w:type="dxa" w:w="5600"/>
            <w:shd w:fill="FFFFFF" w:val="clear"/>
            <w:tcMar>
              <w:top w:type="dxa" w:w="90"/>
              <w:left w:type="dxa" w:w="120"/>
              <w:bottom w:type="dxa" w:w="90"/>
              <w:right w:type="dxa" w:w="120"/>
            </w:tcMar>
          </w:tcPr>
          <w:p>
            <w:r>
              <w:rPr>
                <w:color w:val="222222"/>
                <w:sz w:val="20"/>
                <w:szCs w:val="20"/>
              </w:rPr>
              <w:t xml:space="preserve">Age of primary beneficiary (18–64)</w:t>
            </w:r>
          </w:p>
        </w:tc>
      </w:tr>
      <w:tr>
        <w:tc>
          <w:tcPr>
            <w:tcW w:type="dxa" w:w="1600"/>
            <w:shd w:fill="EEF2F8" w:val="clear"/>
            <w:tcMar>
              <w:top w:type="dxa" w:w="90"/>
              <w:left w:type="dxa" w:w="120"/>
              <w:bottom w:type="dxa" w:w="90"/>
              <w:right w:type="dxa" w:w="120"/>
            </w:tcMar>
          </w:tcPr>
          <w:p>
            <w:r>
              <w:rPr>
                <w:color w:val="222222"/>
                <w:sz w:val="20"/>
                <w:szCs w:val="20"/>
              </w:rPr>
              <w:t xml:space="preserve">sex</w:t>
            </w:r>
          </w:p>
        </w:tc>
        <w:tc>
          <w:tcPr>
            <w:tcW w:type="dxa" w:w="1800"/>
            <w:shd w:fill="EEF2F8" w:val="clear"/>
            <w:tcMar>
              <w:top w:type="dxa" w:w="90"/>
              <w:left w:type="dxa" w:w="120"/>
              <w:bottom w:type="dxa" w:w="90"/>
              <w:right w:type="dxa" w:w="120"/>
            </w:tcMar>
          </w:tcPr>
          <w:p>
            <w:r>
              <w:rPr>
                <w:color w:val="222222"/>
                <w:sz w:val="20"/>
                <w:szCs w:val="20"/>
              </w:rPr>
              <w:t xml:space="preserve">Categorical</w:t>
            </w:r>
          </w:p>
        </w:tc>
        <w:tc>
          <w:tcPr>
            <w:tcW w:type="dxa" w:w="5600"/>
            <w:shd w:fill="EEF2F8" w:val="clear"/>
            <w:tcMar>
              <w:top w:type="dxa" w:w="90"/>
              <w:left w:type="dxa" w:w="120"/>
              <w:bottom w:type="dxa" w:w="90"/>
              <w:right w:type="dxa" w:w="120"/>
            </w:tcMar>
          </w:tcPr>
          <w:p>
            <w:r>
              <w:rPr>
                <w:color w:val="222222"/>
                <w:sz w:val="20"/>
                <w:szCs w:val="20"/>
              </w:rPr>
              <w:t xml:space="preserve">Insurance contractor gender (male / female)</w:t>
            </w:r>
          </w:p>
        </w:tc>
      </w:tr>
      <w:tr>
        <w:tc>
          <w:tcPr>
            <w:tcW w:type="dxa" w:w="1600"/>
            <w:shd w:fill="FFFFFF" w:val="clear"/>
            <w:tcMar>
              <w:top w:type="dxa" w:w="90"/>
              <w:left w:type="dxa" w:w="120"/>
              <w:bottom w:type="dxa" w:w="90"/>
              <w:right w:type="dxa" w:w="120"/>
            </w:tcMar>
          </w:tcPr>
          <w:p>
            <w:r>
              <w:rPr>
                <w:color w:val="222222"/>
                <w:sz w:val="20"/>
                <w:szCs w:val="20"/>
              </w:rPr>
              <w:t xml:space="preserve">bmi</w:t>
            </w:r>
          </w:p>
        </w:tc>
        <w:tc>
          <w:tcPr>
            <w:tcW w:type="dxa" w:w="1800"/>
            <w:shd w:fill="FFFFFF" w:val="clear"/>
            <w:tcMar>
              <w:top w:type="dxa" w:w="90"/>
              <w:left w:type="dxa" w:w="120"/>
              <w:bottom w:type="dxa" w:w="90"/>
              <w:right w:type="dxa" w:w="120"/>
            </w:tcMar>
          </w:tcPr>
          <w:p>
            <w:r>
              <w:rPr>
                <w:color w:val="222222"/>
                <w:sz w:val="20"/>
                <w:szCs w:val="20"/>
              </w:rPr>
              <w:t xml:space="preserve">Numeric</w:t>
            </w:r>
          </w:p>
        </w:tc>
        <w:tc>
          <w:tcPr>
            <w:tcW w:type="dxa" w:w="5600"/>
            <w:shd w:fill="FFFFFF" w:val="clear"/>
            <w:tcMar>
              <w:top w:type="dxa" w:w="90"/>
              <w:left w:type="dxa" w:w="120"/>
              <w:bottom w:type="dxa" w:w="90"/>
              <w:right w:type="dxa" w:w="120"/>
            </w:tcMar>
          </w:tcPr>
          <w:p>
            <w:r>
              <w:rPr>
                <w:color w:val="222222"/>
                <w:sz w:val="20"/>
                <w:szCs w:val="20"/>
              </w:rPr>
              <w:t xml:space="preserve">Body Mass Index — weight relative to height (kg/m²)</w:t>
            </w:r>
          </w:p>
        </w:tc>
      </w:tr>
      <w:tr>
        <w:tc>
          <w:tcPr>
            <w:tcW w:type="dxa" w:w="1600"/>
            <w:shd w:fill="EEF2F8" w:val="clear"/>
            <w:tcMar>
              <w:top w:type="dxa" w:w="90"/>
              <w:left w:type="dxa" w:w="120"/>
              <w:bottom w:type="dxa" w:w="90"/>
              <w:right w:type="dxa" w:w="120"/>
            </w:tcMar>
          </w:tcPr>
          <w:p>
            <w:r>
              <w:rPr>
                <w:color w:val="222222"/>
                <w:sz w:val="20"/>
                <w:szCs w:val="20"/>
              </w:rPr>
              <w:t xml:space="preserve">children</w:t>
            </w:r>
          </w:p>
        </w:tc>
        <w:tc>
          <w:tcPr>
            <w:tcW w:type="dxa" w:w="1800"/>
            <w:shd w:fill="EEF2F8" w:val="clear"/>
            <w:tcMar>
              <w:top w:type="dxa" w:w="90"/>
              <w:left w:type="dxa" w:w="120"/>
              <w:bottom w:type="dxa" w:w="90"/>
              <w:right w:type="dxa" w:w="120"/>
            </w:tcMar>
          </w:tcPr>
          <w:p>
            <w:r>
              <w:rPr>
                <w:color w:val="222222"/>
                <w:sz w:val="20"/>
                <w:szCs w:val="20"/>
              </w:rPr>
              <w:t xml:space="preserve">Numeric</w:t>
            </w:r>
          </w:p>
        </w:tc>
        <w:tc>
          <w:tcPr>
            <w:tcW w:type="dxa" w:w="5600"/>
            <w:shd w:fill="EEF2F8" w:val="clear"/>
            <w:tcMar>
              <w:top w:type="dxa" w:w="90"/>
              <w:left w:type="dxa" w:w="120"/>
              <w:bottom w:type="dxa" w:w="90"/>
              <w:right w:type="dxa" w:w="120"/>
            </w:tcMar>
          </w:tcPr>
          <w:p>
            <w:r>
              <w:rPr>
                <w:color w:val="222222"/>
                <w:sz w:val="20"/>
                <w:szCs w:val="20"/>
              </w:rPr>
              <w:t xml:space="preserve">Number of dependents covered by the policy</w:t>
            </w:r>
          </w:p>
        </w:tc>
      </w:tr>
      <w:tr>
        <w:tc>
          <w:tcPr>
            <w:tcW w:type="dxa" w:w="1600"/>
            <w:shd w:fill="FFFFFF" w:val="clear"/>
            <w:tcMar>
              <w:top w:type="dxa" w:w="90"/>
              <w:left w:type="dxa" w:w="120"/>
              <w:bottom w:type="dxa" w:w="90"/>
              <w:right w:type="dxa" w:w="120"/>
            </w:tcMar>
          </w:tcPr>
          <w:p>
            <w:r>
              <w:rPr>
                <w:color w:val="222222"/>
                <w:sz w:val="20"/>
                <w:szCs w:val="20"/>
              </w:rPr>
              <w:t xml:space="preserve">smoker</w:t>
            </w:r>
          </w:p>
        </w:tc>
        <w:tc>
          <w:tcPr>
            <w:tcW w:type="dxa" w:w="1800"/>
            <w:shd w:fill="FFFFFF" w:val="clear"/>
            <w:tcMar>
              <w:top w:type="dxa" w:w="90"/>
              <w:left w:type="dxa" w:w="120"/>
              <w:bottom w:type="dxa" w:w="90"/>
              <w:right w:type="dxa" w:w="120"/>
            </w:tcMar>
          </w:tcPr>
          <w:p>
            <w:r>
              <w:rPr>
                <w:color w:val="222222"/>
                <w:sz w:val="20"/>
                <w:szCs w:val="20"/>
              </w:rPr>
              <w:t xml:space="preserve">Categorical</w:t>
            </w:r>
          </w:p>
        </w:tc>
        <w:tc>
          <w:tcPr>
            <w:tcW w:type="dxa" w:w="5600"/>
            <w:shd w:fill="FFFFFF" w:val="clear"/>
            <w:tcMar>
              <w:top w:type="dxa" w:w="90"/>
              <w:left w:type="dxa" w:w="120"/>
              <w:bottom w:type="dxa" w:w="90"/>
              <w:right w:type="dxa" w:w="120"/>
            </w:tcMar>
          </w:tcPr>
          <w:p>
            <w:r>
              <w:rPr>
                <w:color w:val="222222"/>
                <w:sz w:val="20"/>
                <w:szCs w:val="20"/>
              </w:rPr>
              <w:t xml:space="preserve">Smoking status (yes / no)</w:t>
            </w:r>
          </w:p>
        </w:tc>
      </w:tr>
      <w:tr>
        <w:tc>
          <w:tcPr>
            <w:tcW w:type="dxa" w:w="1600"/>
            <w:shd w:fill="EEF2F8" w:val="clear"/>
            <w:tcMar>
              <w:top w:type="dxa" w:w="90"/>
              <w:left w:type="dxa" w:w="120"/>
              <w:bottom w:type="dxa" w:w="90"/>
              <w:right w:type="dxa" w:w="120"/>
            </w:tcMar>
          </w:tcPr>
          <w:p>
            <w:r>
              <w:rPr>
                <w:color w:val="222222"/>
                <w:sz w:val="20"/>
                <w:szCs w:val="20"/>
              </w:rPr>
              <w:t xml:space="preserve">region</w:t>
            </w:r>
          </w:p>
        </w:tc>
        <w:tc>
          <w:tcPr>
            <w:tcW w:type="dxa" w:w="1800"/>
            <w:shd w:fill="EEF2F8" w:val="clear"/>
            <w:tcMar>
              <w:top w:type="dxa" w:w="90"/>
              <w:left w:type="dxa" w:w="120"/>
              <w:bottom w:type="dxa" w:w="90"/>
              <w:right w:type="dxa" w:w="120"/>
            </w:tcMar>
          </w:tcPr>
          <w:p>
            <w:r>
              <w:rPr>
                <w:color w:val="222222"/>
                <w:sz w:val="20"/>
                <w:szCs w:val="20"/>
              </w:rPr>
              <w:t xml:space="preserve">Categorical</w:t>
            </w:r>
          </w:p>
        </w:tc>
        <w:tc>
          <w:tcPr>
            <w:tcW w:type="dxa" w:w="5600"/>
            <w:shd w:fill="EEF2F8" w:val="clear"/>
            <w:tcMar>
              <w:top w:type="dxa" w:w="90"/>
              <w:left w:type="dxa" w:w="120"/>
              <w:bottom w:type="dxa" w:w="90"/>
              <w:right w:type="dxa" w:w="120"/>
            </w:tcMar>
          </w:tcPr>
          <w:p>
            <w:r>
              <w:rPr>
                <w:color w:val="222222"/>
                <w:sz w:val="20"/>
                <w:szCs w:val="20"/>
              </w:rPr>
              <w:t xml:space="preserve">US residential region (NE, NW, SE, SW)</w:t>
            </w:r>
          </w:p>
        </w:tc>
      </w:tr>
      <w:tr>
        <w:tc>
          <w:tcPr>
            <w:tcW w:type="dxa" w:w="1600"/>
            <w:shd w:fill="FFFFFF" w:val="clear"/>
            <w:tcMar>
              <w:top w:type="dxa" w:w="90"/>
              <w:left w:type="dxa" w:w="120"/>
              <w:bottom w:type="dxa" w:w="90"/>
              <w:right w:type="dxa" w:w="120"/>
            </w:tcMar>
          </w:tcPr>
          <w:p>
            <w:r>
              <w:rPr>
                <w:color w:val="222222"/>
                <w:sz w:val="20"/>
                <w:szCs w:val="20"/>
              </w:rPr>
              <w:t xml:space="preserve">charges</w:t>
            </w:r>
          </w:p>
        </w:tc>
        <w:tc>
          <w:tcPr>
            <w:tcW w:type="dxa" w:w="1800"/>
            <w:shd w:fill="FFFFFF" w:val="clear"/>
            <w:tcMar>
              <w:top w:type="dxa" w:w="90"/>
              <w:left w:type="dxa" w:w="120"/>
              <w:bottom w:type="dxa" w:w="90"/>
              <w:right w:type="dxa" w:w="120"/>
            </w:tcMar>
          </w:tcPr>
          <w:p>
            <w:r>
              <w:rPr>
                <w:color w:val="222222"/>
                <w:sz w:val="20"/>
                <w:szCs w:val="20"/>
              </w:rPr>
              <w:t xml:space="preserve">Numeric</w:t>
            </w:r>
          </w:p>
        </w:tc>
        <w:tc>
          <w:tcPr>
            <w:tcW w:type="dxa" w:w="5600"/>
            <w:shd w:fill="FFFFFF" w:val="clear"/>
            <w:tcMar>
              <w:top w:type="dxa" w:w="90"/>
              <w:left w:type="dxa" w:w="120"/>
              <w:bottom w:type="dxa" w:w="90"/>
              <w:right w:type="dxa" w:w="120"/>
            </w:tcMar>
          </w:tcPr>
          <w:p>
            <w:r>
              <w:rPr>
                <w:color w:val="222222"/>
                <w:sz w:val="20"/>
                <w:szCs w:val="20"/>
              </w:rPr>
              <w:t xml:space="preserve">Target variable — individual medical costs billed</w:t>
            </w:r>
          </w:p>
        </w:tc>
      </w:tr>
    </w:tbl>
    <w:p>
      <w:pPr>
        <w:spacing w:after="160" w:line="300"/>
      </w:pPr>
      <w:r>
        <w:rPr>
          <w:color w:val="222222"/>
          <w:sz w:val="22"/>
          <w:szCs w:val="22"/>
        </w:rPr>
        <w:t xml:space="preserve"/>
      </w:r>
    </w:p>
    <w:p>
      <w:pPr>
        <w:spacing w:after="160" w:line="300"/>
      </w:pPr>
      <w:r>
        <w:rPr>
          <w:color w:val="222222"/>
          <w:sz w:val="22"/>
          <w:szCs w:val="22"/>
        </w:rPr>
        <w:t xml:space="preserve">The dataset has no missing values across any of the 7 columns, so no imputation was required. Categorical class balance:</w:t>
      </w:r>
    </w:p>
    <w:p>
      <w:pPr>
        <w:pStyle w:val="ListParagraph"/>
        <w:numPr>
          <w:ilvl w:val="0"/>
          <w:numId w:val="2"/>
        </w:numPr>
        <w:spacing w:after="90" w:line="280"/>
      </w:pPr>
      <w:r>
        <w:rPr>
          <w:color w:val="222222"/>
          <w:sz w:val="22"/>
          <w:szCs w:val="22"/>
        </w:rPr>
        <w:t xml:space="preserve">sex: 676 male, 662 female — near-even split</w:t>
      </w:r>
    </w:p>
    <w:p>
      <w:pPr>
        <w:pStyle w:val="ListParagraph"/>
        <w:numPr>
          <w:ilvl w:val="0"/>
          <w:numId w:val="2"/>
        </w:numPr>
        <w:spacing w:after="90" w:line="280"/>
      </w:pPr>
      <w:r>
        <w:rPr>
          <w:color w:val="222222"/>
          <w:sz w:val="22"/>
          <w:szCs w:val="22"/>
        </w:rPr>
        <w:t xml:space="preserve">smoker: 1,064 non-smokers vs. 274 smokers — a clear class imbalance relevant for modeling</w:t>
      </w:r>
    </w:p>
    <w:p>
      <w:pPr>
        <w:pStyle w:val="ListParagraph"/>
        <w:numPr>
          <w:ilvl w:val="0"/>
          <w:numId w:val="2"/>
        </w:numPr>
        <w:spacing w:after="90" w:line="280"/>
      </w:pPr>
      <w:r>
        <w:rPr>
          <w:color w:val="222222"/>
          <w:sz w:val="22"/>
          <w:szCs w:val="22"/>
        </w:rPr>
        <w:t xml:space="preserve">region: southeast (364), southwest (325), northwest (325), northeast (324) — fairly even</w:t>
      </w:r>
    </w:p>
    <w:p>
      <w:pPr>
        <w:pStyle w:val="Heading1"/>
        <w:pBdr>
          <w:bottom w:val="single" w:color="1F3864" w:sz="6" w:space="4"/>
        </w:pBdr>
        <w:spacing w:after="160" w:before="360"/>
      </w:pPr>
      <w:r>
        <w:rPr>
          <w:b/>
          <w:bCs/>
          <w:color w:val="1F3864"/>
          <w:sz w:val="30"/>
          <w:szCs w:val="30"/>
        </w:rPr>
        <w:t xml:space="preserve">3. Exploratory Data Analysis</w:t>
      </w:r>
    </w:p>
    <w:p>
      <w:pPr>
        <w:pStyle w:val="Heading2"/>
        <w:spacing w:after="120" w:before="260"/>
      </w:pPr>
      <w:r>
        <w:rPr>
          <w:b/>
          <w:bCs/>
          <w:color w:val="4C72B0"/>
          <w:sz w:val="24"/>
          <w:szCs w:val="24"/>
        </w:rPr>
        <w:t xml:space="preserve">3.1 Distribution of Numeric Features</w:t>
      </w:r>
    </w:p>
    <w:p>
      <w:pPr>
        <w:spacing w:after="160" w:line="300"/>
      </w:pPr>
      <w:r>
        <w:rPr>
          <w:color w:val="222222"/>
          <w:sz w:val="22"/>
          <w:szCs w:val="22"/>
        </w:rPr>
        <w:t xml:space="preserve">Age is fairly evenly spread between 18 and 64. BMI is roughly bell-shaped and centered around 30–31, which falls in the obese range by clinical standards. Children is concentrated at 0–2. Charges is heavily right-skewed — most customers pay comparatively low charges, while a smaller group incurs very high costs.</w:t>
      </w:r>
    </w:p>
    <w:p>
      <w:pPr>
        <w:spacing w:after="40" w:before="160"/>
        <w:jc w:val="center"/>
      </w:pPr>
      <w:r>
        <w:drawing>
          <wp:inline distT="0" distB="0" distL="0" distR="0">
            <wp:extent cx="576072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023360"/>
                    </a:xfrm>
                    <a:prstGeom prst="rect">
                      <a:avLst/>
                    </a:prstGeom>
                  </pic:spPr>
                </pic:pic>
              </a:graphicData>
            </a:graphic>
          </wp:inline>
        </w:drawing>
      </w:r>
    </w:p>
    <w:p>
      <w:pPr>
        <w:spacing w:after="300" w:before="80"/>
        <w:jc w:val="center"/>
      </w:pPr>
      <w:r>
        <w:rPr>
          <w:i/>
          <w:iCs/>
          <w:color w:val="595959"/>
          <w:sz w:val="19"/>
          <w:szCs w:val="19"/>
        </w:rPr>
        <w:t xml:space="preserve">Figure 1. Distribution of age, BMI, children, and charges.</w:t>
      </w:r>
    </w:p>
    <w:p>
      <w:pPr>
        <w:pStyle w:val="Heading2"/>
        <w:spacing w:after="120" w:before="260"/>
      </w:pPr>
      <w:r>
        <w:rPr>
          <w:b/>
          <w:bCs/>
          <w:color w:val="4C72B0"/>
          <w:sz w:val="24"/>
          <w:szCs w:val="24"/>
        </w:rPr>
        <w:t xml:space="preserve">3.2 Charges by Smoker Status</w:t>
      </w:r>
    </w:p>
    <w:p>
      <w:pPr>
        <w:spacing w:after="160" w:line="300"/>
      </w:pPr>
      <w:r>
        <w:rPr>
          <w:color w:val="222222"/>
          <w:sz w:val="22"/>
          <w:szCs w:val="22"/>
        </w:rPr>
        <w:t xml:space="preserve">Smokers show a much higher median and wider spread of charges than non-smokers, with the two groups occupying almost non-overlapping charge ranges at the upper end. This is the clearest single pattern in the dataset.</w:t>
      </w:r>
    </w:p>
    <w:p>
      <w:pPr>
        <w:spacing w:after="40" w:before="160"/>
        <w:jc w:val="center"/>
      </w:pPr>
      <w:r>
        <w:drawing>
          <wp:inline distT="0" distB="0" distL="0" distR="0">
            <wp:extent cx="502920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566160"/>
                    </a:xfrm>
                    <a:prstGeom prst="rect">
                      <a:avLst/>
                    </a:prstGeom>
                  </pic:spPr>
                </pic:pic>
              </a:graphicData>
            </a:graphic>
          </wp:inline>
        </w:drawing>
      </w:r>
    </w:p>
    <w:p>
      <w:pPr>
        <w:spacing w:after="300" w:before="80"/>
        <w:jc w:val="center"/>
      </w:pPr>
      <w:r>
        <w:rPr>
          <w:i/>
          <w:iCs/>
          <w:color w:val="595959"/>
          <w:sz w:val="19"/>
          <w:szCs w:val="19"/>
        </w:rPr>
        <w:t xml:space="preserve">Figure 2. Insurance charges by smoker status.</w:t>
      </w:r>
    </w:p>
    <w:p>
      <w:pPr>
        <w:pStyle w:val="Heading2"/>
        <w:spacing w:after="120" w:before="260"/>
      </w:pPr>
      <w:r>
        <w:rPr>
          <w:b/>
          <w:bCs/>
          <w:color w:val="4C72B0"/>
          <w:sz w:val="24"/>
          <w:szCs w:val="24"/>
        </w:rPr>
        <w:t xml:space="preserve">3.3 Age vs. Charges (by Smoker Status and BMI)</w:t>
      </w:r>
    </w:p>
    <w:p>
      <w:pPr>
        <w:spacing w:after="160" w:line="300"/>
      </w:pPr>
      <w:r>
        <w:rPr>
          <w:color w:val="222222"/>
          <w:sz w:val="22"/>
          <w:szCs w:val="22"/>
        </w:rPr>
        <w:t xml:space="preserve">Charges rise with age for both smokers and non-smokers, but smokers sit on a visibly higher band throughout the age range. Bubble size (BMI) shows that higher-BMI smokers tend to cluster at the very top of the cost distribution — suggesting an interaction effect between smoking and BMI.</w:t>
      </w:r>
    </w:p>
    <w:p>
      <w:pPr>
        <w:spacing w:after="40" w:before="160"/>
        <w:jc w:val="center"/>
      </w:pPr>
      <w:r>
        <w:drawing>
          <wp:inline distT="0" distB="0" distL="0" distR="0">
            <wp:extent cx="548640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749040"/>
                    </a:xfrm>
                    <a:prstGeom prst="rect">
                      <a:avLst/>
                    </a:prstGeom>
                  </pic:spPr>
                </pic:pic>
              </a:graphicData>
            </a:graphic>
          </wp:inline>
        </w:drawing>
      </w:r>
    </w:p>
    <w:p>
      <w:pPr>
        <w:spacing w:after="300" w:before="80"/>
        <w:jc w:val="center"/>
      </w:pPr>
      <w:r>
        <w:rPr>
          <w:i/>
          <w:iCs/>
          <w:color w:val="595959"/>
          <w:sz w:val="19"/>
          <w:szCs w:val="19"/>
        </w:rPr>
        <w:t xml:space="preserve">Figure 3. Charges vs. age, colored by smoker status, sized by BMI.</w:t>
      </w:r>
    </w:p>
    <w:p>
      <w:pPr>
        <w:pStyle w:val="Heading2"/>
        <w:spacing w:after="120" w:before="260"/>
      </w:pPr>
      <w:r>
        <w:rPr>
          <w:b/>
          <w:bCs/>
          <w:color w:val="4C72B0"/>
          <w:sz w:val="24"/>
          <w:szCs w:val="24"/>
        </w:rPr>
        <w:t xml:space="preserve">3.4 Correlation Between Numeric Features</w:t>
      </w:r>
    </w:p>
    <w:p>
      <w:pPr>
        <w:spacing w:after="160" w:line="300"/>
      </w:pPr>
      <w:r>
        <w:rPr>
          <w:color w:val="222222"/>
          <w:sz w:val="22"/>
          <w:szCs w:val="22"/>
        </w:rPr>
        <w:t xml:space="preserve">Among purely numeric features, age and BMI show the strongest (positive) correlation with charges, while children is weakly correlated. Note this heatmap excludes smoker status, which — despite being categorical — is the single most influential factor, as shown by the group comparisons above.</w:t>
      </w:r>
    </w:p>
    <w:p>
      <w:pPr>
        <w:spacing w:after="40" w:before="160"/>
        <w:jc w:val="center"/>
      </w:pPr>
      <w:r>
        <w:drawing>
          <wp:inline distT="0" distB="0" distL="0" distR="0">
            <wp:extent cx="420624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6240" cy="3383280"/>
                    </a:xfrm>
                    <a:prstGeom prst="rect">
                      <a:avLst/>
                    </a:prstGeom>
                  </pic:spPr>
                </pic:pic>
              </a:graphicData>
            </a:graphic>
          </wp:inline>
        </w:drawing>
      </w:r>
    </w:p>
    <w:p>
      <w:pPr>
        <w:spacing w:after="300" w:before="80"/>
        <w:jc w:val="center"/>
      </w:pPr>
      <w:r>
        <w:rPr>
          <w:i/>
          <w:iCs/>
          <w:color w:val="595959"/>
          <w:sz w:val="19"/>
          <w:szCs w:val="19"/>
        </w:rPr>
        <w:t xml:space="preserve">Figure 4. Correlation heatmap of numeric features.</w:t>
      </w:r>
    </w:p>
    <w:p>
      <w:pPr>
        <w:pStyle w:val="Heading2"/>
        <w:spacing w:after="120" w:before="260"/>
      </w:pPr>
      <w:r>
        <w:rPr>
          <w:b/>
          <w:bCs/>
          <w:color w:val="4C72B0"/>
          <w:sz w:val="24"/>
          <w:szCs w:val="24"/>
        </w:rPr>
        <w:t xml:space="preserve">3.5 Average Charges by Sex and Smoker Status</w:t>
      </w:r>
    </w:p>
    <w:p>
      <w:pPr>
        <w:spacing w:after="160" w:line="300"/>
      </w:pPr>
      <w:r>
        <w:rPr>
          <w:color w:val="222222"/>
          <w:sz w:val="22"/>
          <w:szCs w:val="22"/>
        </w:rPr>
        <w:t xml:space="preserve">Male smokers have the highest average charges, followed by female smokers. Non-smokers of both sexes show much lower and more similar average charges — confirming that smoking status, not sex, is the dominant cost driver.</w:t>
      </w:r>
    </w:p>
    <w:p>
      <w:pPr>
        <w:spacing w:after="40" w:before="160"/>
        <w:jc w:val="center"/>
      </w:pPr>
      <w:r>
        <w:drawing>
          <wp:inline distT="0" distB="0" distL="0" distR="0">
            <wp:extent cx="493776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3383280"/>
                    </a:xfrm>
                    <a:prstGeom prst="rect">
                      <a:avLst/>
                    </a:prstGeom>
                  </pic:spPr>
                </pic:pic>
              </a:graphicData>
            </a:graphic>
          </wp:inline>
        </w:drawing>
      </w:r>
    </w:p>
    <w:p>
      <w:pPr>
        <w:spacing w:after="300" w:before="80"/>
        <w:jc w:val="center"/>
      </w:pPr>
      <w:r>
        <w:rPr>
          <w:i/>
          <w:iCs/>
          <w:color w:val="595959"/>
          <w:sz w:val="19"/>
          <w:szCs w:val="19"/>
        </w:rPr>
        <w:t xml:space="preserve">Figure 5. Average charges by sex and smoker status.</w:t>
      </w:r>
    </w:p>
    <w:p>
      <w:pPr>
        <w:pStyle w:val="Heading2"/>
        <w:spacing w:after="120" w:before="260"/>
      </w:pPr>
      <w:r>
        <w:rPr>
          <w:b/>
          <w:bCs/>
          <w:color w:val="4C72B0"/>
          <w:sz w:val="24"/>
          <w:szCs w:val="24"/>
        </w:rPr>
        <w:t xml:space="preserve">3.6 Charges by Region and Smoker Status</w:t>
      </w:r>
    </w:p>
    <w:p>
      <w:pPr>
        <w:spacing w:after="160" w:line="300"/>
      </w:pPr>
      <w:r>
        <w:rPr>
          <w:color w:val="222222"/>
          <w:sz w:val="22"/>
          <w:szCs w:val="22"/>
        </w:rPr>
        <w:t xml:space="preserve">Charge distributions look broadly similar across all four regions. In every region, smokers cluster at higher charge levels than non-smokers, reinforcing that region has comparatively little explanatory power on its own.</w:t>
      </w:r>
    </w:p>
    <w:p>
      <w:pPr>
        <w:spacing w:after="40" w:before="160"/>
        <w:jc w:val="center"/>
      </w:pPr>
      <w:r>
        <w:drawing>
          <wp:inline distT="0" distB="0" distL="0" distR="0">
            <wp:extent cx="54864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108960"/>
                    </a:xfrm>
                    <a:prstGeom prst="rect">
                      <a:avLst/>
                    </a:prstGeom>
                  </pic:spPr>
                </pic:pic>
              </a:graphicData>
            </a:graphic>
          </wp:inline>
        </w:drawing>
      </w:r>
    </w:p>
    <w:p>
      <w:pPr>
        <w:spacing w:after="300" w:before="80"/>
        <w:jc w:val="center"/>
      </w:pPr>
      <w:r>
        <w:rPr>
          <w:i/>
          <w:iCs/>
          <w:color w:val="595959"/>
          <w:sz w:val="19"/>
          <w:szCs w:val="19"/>
        </w:rPr>
        <w:t xml:space="preserve">Figure 6. Distribution of charges by region and smoker status.</w:t>
      </w:r>
    </w:p>
    <w:p>
      <w:pPr>
        <w:pStyle w:val="Heading1"/>
        <w:pBdr>
          <w:bottom w:val="single" w:color="1F3864" w:sz="6" w:space="4"/>
        </w:pBdr>
        <w:spacing w:after="160" w:before="360"/>
      </w:pPr>
      <w:r>
        <w:rPr>
          <w:b/>
          <w:bCs/>
          <w:color w:val="1F3864"/>
          <w:sz w:val="30"/>
          <w:szCs w:val="30"/>
        </w:rPr>
        <w:t xml:space="preserve">4. Hypothesis Testing</w:t>
      </w:r>
    </w:p>
    <w:p>
      <w:pPr>
        <w:spacing w:after="160" w:line="300"/>
      </w:pPr>
      <w:r>
        <w:rPr>
          <w:color w:val="222222"/>
          <w:sz w:val="22"/>
          <w:szCs w:val="22"/>
        </w:rPr>
        <w:t xml:space="preserve">Two hypothesis tests were run to statistically confirm the visual patterns observed above.</w:t>
      </w:r>
    </w:p>
    <w:p>
      <w:pPr>
        <w:pStyle w:val="Heading2"/>
        <w:spacing w:after="120" w:before="260"/>
      </w:pPr>
      <w:r>
        <w:rPr>
          <w:b/>
          <w:bCs/>
          <w:color w:val="4C72B0"/>
          <w:sz w:val="24"/>
          <w:szCs w:val="24"/>
        </w:rPr>
        <w:t xml:space="preserve">4.1 Smoking Status vs. Charges</w:t>
      </w:r>
    </w:p>
    <w:p>
      <w:pPr>
        <w:spacing w:after="160" w:line="300"/>
      </w:pPr>
      <w:r>
        <w:rPr>
          <w:color w:val="222222"/>
          <w:sz w:val="22"/>
          <w:szCs w:val="22"/>
        </w:rPr>
        <w:t xml:space="preserve">An independent-samples t-test compared mean charges between smokers and non-smokers.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Statistic</w:t>
            </w:r>
          </w:p>
        </w:tc>
        <w:tc>
          <w:tcPr>
            <w:tcW w:type="dxa" w:w="6000"/>
            <w:shd w:fill="1F3864" w:val="clear"/>
            <w:tcMar>
              <w:top w:type="dxa" w:w="100"/>
              <w:left w:type="dxa" w:w="120"/>
              <w:bottom w:type="dxa" w:w="100"/>
              <w:right w:type="dxa" w:w="120"/>
            </w:tcMar>
          </w:tcPr>
          <w:p>
            <w:r>
              <w:rPr>
                <w:b/>
                <w:bCs/>
                <w:color w:val="FFFFFF"/>
                <w:sz w:val="20"/>
                <w:szCs w:val="20"/>
              </w:rPr>
              <w:t xml:space="preserve">Value</w:t>
            </w:r>
          </w:p>
        </w:tc>
      </w:tr>
      <w:tr>
        <w:tc>
          <w:tcPr>
            <w:tcW w:type="dxa" w:w="3000"/>
            <w:shd w:fill="FFFFFF" w:val="clear"/>
            <w:tcMar>
              <w:top w:type="dxa" w:w="90"/>
              <w:left w:type="dxa" w:w="120"/>
              <w:bottom w:type="dxa" w:w="90"/>
              <w:right w:type="dxa" w:w="120"/>
            </w:tcMar>
          </w:tcPr>
          <w:p>
            <w:r>
              <w:rPr>
                <w:color w:val="222222"/>
                <w:sz w:val="20"/>
                <w:szCs w:val="20"/>
              </w:rPr>
              <w:t xml:space="preserve">t-statistic</w:t>
            </w:r>
          </w:p>
        </w:tc>
        <w:tc>
          <w:tcPr>
            <w:tcW w:type="dxa" w:w="6000"/>
            <w:shd w:fill="FFFFFF" w:val="clear"/>
            <w:tcMar>
              <w:top w:type="dxa" w:w="90"/>
              <w:left w:type="dxa" w:w="120"/>
              <w:bottom w:type="dxa" w:w="90"/>
              <w:right w:type="dxa" w:w="120"/>
            </w:tcMar>
          </w:tcPr>
          <w:p>
            <w:r>
              <w:rPr>
                <w:color w:val="222222"/>
                <w:sz w:val="20"/>
                <w:szCs w:val="20"/>
              </w:rPr>
              <w:t xml:space="preserve">46.665</w:t>
            </w:r>
          </w:p>
        </w:tc>
      </w:tr>
      <w:tr>
        <w:tc>
          <w:tcPr>
            <w:tcW w:type="dxa" w:w="3000"/>
            <w:shd w:fill="EEF2F8" w:val="clear"/>
            <w:tcMar>
              <w:top w:type="dxa" w:w="90"/>
              <w:left w:type="dxa" w:w="120"/>
              <w:bottom w:type="dxa" w:w="90"/>
              <w:right w:type="dxa" w:w="120"/>
            </w:tcMar>
          </w:tcPr>
          <w:p>
            <w:r>
              <w:rPr>
                <w:color w:val="222222"/>
                <w:sz w:val="20"/>
                <w:szCs w:val="20"/>
              </w:rPr>
              <w:t xml:space="preserve">p-value</w:t>
            </w:r>
          </w:p>
        </w:tc>
        <w:tc>
          <w:tcPr>
            <w:tcW w:type="dxa" w:w="6000"/>
            <w:shd w:fill="EEF2F8" w:val="clear"/>
            <w:tcMar>
              <w:top w:type="dxa" w:w="90"/>
              <w:left w:type="dxa" w:w="120"/>
              <w:bottom w:type="dxa" w:w="90"/>
              <w:right w:type="dxa" w:w="120"/>
            </w:tcMar>
          </w:tcPr>
          <w:p>
            <w:r>
              <w:rPr>
                <w:color w:val="222222"/>
                <w:sz w:val="20"/>
                <w:szCs w:val="20"/>
              </w:rPr>
              <w:t xml:space="preserve">4.14 × 10⁻²⁸³</w:t>
            </w:r>
          </w:p>
        </w:tc>
      </w:tr>
      <w:tr>
        <w:tc>
          <w:tcPr>
            <w:tcW w:type="dxa" w:w="3000"/>
            <w:shd w:fill="FFFFFF" w:val="clear"/>
            <w:tcMar>
              <w:top w:type="dxa" w:w="90"/>
              <w:left w:type="dxa" w:w="120"/>
              <w:bottom w:type="dxa" w:w="90"/>
              <w:right w:type="dxa" w:w="120"/>
            </w:tcMar>
          </w:tcPr>
          <w:p>
            <w:r>
              <w:rPr>
                <w:color w:val="222222"/>
                <w:sz w:val="20"/>
                <w:szCs w:val="20"/>
              </w:rPr>
              <w:t xml:space="preserve">Conclusion</w:t>
            </w:r>
          </w:p>
        </w:tc>
        <w:tc>
          <w:tcPr>
            <w:tcW w:type="dxa" w:w="6000"/>
            <w:shd w:fill="FFFFFF" w:val="clear"/>
            <w:tcMar>
              <w:top w:type="dxa" w:w="90"/>
              <w:left w:type="dxa" w:w="120"/>
              <w:bottom w:type="dxa" w:w="90"/>
              <w:right w:type="dxa" w:w="120"/>
            </w:tcMar>
          </w:tcPr>
          <w:p>
            <w:r>
              <w:rPr>
                <w:color w:val="222222"/>
                <w:sz w:val="20"/>
                <w:szCs w:val="20"/>
              </w:rPr>
              <w:t xml:space="preserve">Smokers pay significantly higher charges than non-smokers (p &lt; 0.001)</w:t>
            </w:r>
          </w:p>
        </w:tc>
      </w:tr>
    </w:tbl>
    <w:p>
      <w:pPr>
        <w:pStyle w:val="Heading2"/>
        <w:spacing w:after="120" w:before="260"/>
      </w:pPr>
      <w:r>
        <w:rPr>
          <w:b/>
          <w:bCs/>
          <w:color w:val="4C72B0"/>
          <w:sz w:val="24"/>
          <w:szCs w:val="24"/>
        </w:rPr>
        <w:t xml:space="preserve">4.2 BMI vs. Charges</w:t>
      </w:r>
    </w:p>
    <w:p>
      <w:pPr>
        <w:spacing w:after="160" w:line="300"/>
      </w:pPr>
      <w:r>
        <w:rPr>
          <w:color w:val="222222"/>
          <w:sz w:val="22"/>
          <w:szCs w:val="22"/>
        </w:rPr>
        <w:t xml:space="preserve">BMI's relationship with charges was tested two ways: a t-test comparing high-BMI (&gt;25) vs. low-BMI (≤25) customers, and a Pearson correlation between BMI and charges directly.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Test</w:t>
            </w:r>
          </w:p>
        </w:tc>
        <w:tc>
          <w:tcPr>
            <w:tcW w:type="dxa" w:w="1800"/>
            <w:shd w:fill="1F3864" w:val="clear"/>
            <w:tcMar>
              <w:top w:type="dxa" w:w="100"/>
              <w:left w:type="dxa" w:w="120"/>
              <w:bottom w:type="dxa" w:w="100"/>
              <w:right w:type="dxa" w:w="120"/>
            </w:tcMar>
          </w:tcPr>
          <w:p>
            <w:r>
              <w:rPr>
                <w:b/>
                <w:bCs/>
                <w:color w:val="FFFFFF"/>
                <w:sz w:val="20"/>
                <w:szCs w:val="20"/>
              </w:rPr>
              <w:t xml:space="preserve">Statistic</w:t>
            </w:r>
          </w:p>
        </w:tc>
        <w:tc>
          <w:tcPr>
            <w:tcW w:type="dxa" w:w="1800"/>
            <w:shd w:fill="1F3864" w:val="clear"/>
            <w:tcMar>
              <w:top w:type="dxa" w:w="100"/>
              <w:left w:type="dxa" w:w="120"/>
              <w:bottom w:type="dxa" w:w="100"/>
              <w:right w:type="dxa" w:w="120"/>
            </w:tcMar>
          </w:tcPr>
          <w:p>
            <w:r>
              <w:rPr>
                <w:b/>
                <w:bCs/>
                <w:color w:val="FFFFFF"/>
                <w:sz w:val="20"/>
                <w:szCs w:val="20"/>
              </w:rPr>
              <w:t xml:space="preserve">p-value</w:t>
            </w:r>
          </w:p>
        </w:tc>
        <w:tc>
          <w:tcPr>
            <w:tcW w:type="dxa" w:w="2400"/>
            <w:shd w:fill="1F3864" w:val="clear"/>
            <w:tcMar>
              <w:top w:type="dxa" w:w="100"/>
              <w:left w:type="dxa" w:w="120"/>
              <w:bottom w:type="dxa" w:w="100"/>
              <w:right w:type="dxa" w:w="120"/>
            </w:tcMar>
          </w:tcPr>
          <w:p>
            <w:r>
              <w:rPr>
                <w:b/>
                <w:bCs/>
                <w:color w:val="FFFFFF"/>
                <w:sz w:val="20"/>
                <w:szCs w:val="20"/>
              </w:rPr>
              <w:t xml:space="preserve">Conclusion</w:t>
            </w:r>
          </w:p>
        </w:tc>
      </w:tr>
      <w:tr>
        <w:tc>
          <w:tcPr>
            <w:tcW w:type="dxa" w:w="3000"/>
            <w:shd w:fill="FFFFFF" w:val="clear"/>
            <w:tcMar>
              <w:top w:type="dxa" w:w="90"/>
              <w:left w:type="dxa" w:w="120"/>
              <w:bottom w:type="dxa" w:w="90"/>
              <w:right w:type="dxa" w:w="120"/>
            </w:tcMar>
          </w:tcPr>
          <w:p>
            <w:r>
              <w:rPr>
                <w:color w:val="222222"/>
                <w:sz w:val="20"/>
                <w:szCs w:val="20"/>
              </w:rPr>
              <w:t xml:space="preserve">Independent t-test (high vs. low BMI)</w:t>
            </w:r>
          </w:p>
        </w:tc>
        <w:tc>
          <w:tcPr>
            <w:tcW w:type="dxa" w:w="1800"/>
            <w:shd w:fill="FFFFFF" w:val="clear"/>
            <w:tcMar>
              <w:top w:type="dxa" w:w="90"/>
              <w:left w:type="dxa" w:w="120"/>
              <w:bottom w:type="dxa" w:w="90"/>
              <w:right w:type="dxa" w:w="120"/>
            </w:tcMar>
          </w:tcPr>
          <w:p>
            <w:r>
              <w:rPr>
                <w:color w:val="222222"/>
                <w:sz w:val="20"/>
                <w:szCs w:val="20"/>
              </w:rPr>
              <w:t xml:space="preserve">t = 4.320</w:t>
            </w:r>
          </w:p>
        </w:tc>
        <w:tc>
          <w:tcPr>
            <w:tcW w:type="dxa" w:w="1800"/>
            <w:shd w:fill="FFFFFF" w:val="clear"/>
            <w:tcMar>
              <w:top w:type="dxa" w:w="90"/>
              <w:left w:type="dxa" w:w="120"/>
              <w:bottom w:type="dxa" w:w="90"/>
              <w:right w:type="dxa" w:w="120"/>
            </w:tcMar>
          </w:tcPr>
          <w:p>
            <w:r>
              <w:rPr>
                <w:color w:val="222222"/>
                <w:sz w:val="20"/>
                <w:szCs w:val="20"/>
              </w:rPr>
              <w:t xml:space="preserve">1.68 × 10⁻⁵</w:t>
            </w:r>
          </w:p>
        </w:tc>
        <w:tc>
          <w:tcPr>
            <w:tcW w:type="dxa" w:w="2400"/>
            <w:shd w:fill="FFFFFF" w:val="clear"/>
            <w:tcMar>
              <w:top w:type="dxa" w:w="90"/>
              <w:left w:type="dxa" w:w="120"/>
              <w:bottom w:type="dxa" w:w="90"/>
              <w:right w:type="dxa" w:w="120"/>
            </w:tcMar>
          </w:tcPr>
          <w:p>
            <w:r>
              <w:rPr>
                <w:color w:val="222222"/>
                <w:sz w:val="20"/>
                <w:szCs w:val="20"/>
              </w:rPr>
              <w:t xml:space="preserve">Significant difference — higher BMI is associated with higher charges</w:t>
            </w:r>
          </w:p>
        </w:tc>
      </w:tr>
      <w:tr>
        <w:tc>
          <w:tcPr>
            <w:tcW w:type="dxa" w:w="3000"/>
            <w:shd w:fill="EEF2F8" w:val="clear"/>
            <w:tcMar>
              <w:top w:type="dxa" w:w="90"/>
              <w:left w:type="dxa" w:w="120"/>
              <w:bottom w:type="dxa" w:w="90"/>
              <w:right w:type="dxa" w:w="120"/>
            </w:tcMar>
          </w:tcPr>
          <w:p>
            <w:r>
              <w:rPr>
                <w:color w:val="222222"/>
                <w:sz w:val="20"/>
                <w:szCs w:val="20"/>
              </w:rPr>
              <w:t xml:space="preserve">Pearson correlation</w:t>
            </w:r>
          </w:p>
        </w:tc>
        <w:tc>
          <w:tcPr>
            <w:tcW w:type="dxa" w:w="1800"/>
            <w:shd w:fill="EEF2F8" w:val="clear"/>
            <w:tcMar>
              <w:top w:type="dxa" w:w="90"/>
              <w:left w:type="dxa" w:w="120"/>
              <w:bottom w:type="dxa" w:w="90"/>
              <w:right w:type="dxa" w:w="120"/>
            </w:tcMar>
          </w:tcPr>
          <w:p>
            <w:r>
              <w:rPr>
                <w:color w:val="222222"/>
                <w:sz w:val="20"/>
                <w:szCs w:val="20"/>
              </w:rPr>
              <w:t xml:space="preserve">r = 0.198</w:t>
            </w:r>
          </w:p>
        </w:tc>
        <w:tc>
          <w:tcPr>
            <w:tcW w:type="dxa" w:w="1800"/>
            <w:shd w:fill="EEF2F8" w:val="clear"/>
            <w:tcMar>
              <w:top w:type="dxa" w:w="90"/>
              <w:left w:type="dxa" w:w="120"/>
              <w:bottom w:type="dxa" w:w="90"/>
              <w:right w:type="dxa" w:w="120"/>
            </w:tcMar>
          </w:tcPr>
          <w:p>
            <w:r>
              <w:rPr>
                <w:color w:val="222222"/>
                <w:sz w:val="20"/>
                <w:szCs w:val="20"/>
              </w:rPr>
              <w:t xml:space="preserve">2.46 × 10⁻¹³</w:t>
            </w:r>
          </w:p>
        </w:tc>
        <w:tc>
          <w:tcPr>
            <w:tcW w:type="dxa" w:w="2400"/>
            <w:shd w:fill="EEF2F8" w:val="clear"/>
            <w:tcMar>
              <w:top w:type="dxa" w:w="90"/>
              <w:left w:type="dxa" w:w="120"/>
              <w:bottom w:type="dxa" w:w="90"/>
              <w:right w:type="dxa" w:w="120"/>
            </w:tcMar>
          </w:tcPr>
          <w:p>
            <w:r>
              <w:rPr>
                <w:color w:val="222222"/>
                <w:sz w:val="20"/>
                <w:szCs w:val="20"/>
              </w:rPr>
              <w:t xml:space="preserve">Weak but statistically significant positive correlation</w:t>
            </w:r>
          </w:p>
        </w:tc>
      </w:tr>
    </w:tbl>
    <w:p>
      <w:pPr>
        <w:spacing w:after="160" w:line="300"/>
      </w:pPr>
      <w:r>
        <w:rPr>
          <w:color w:val="222222"/>
          <w:sz w:val="22"/>
          <w:szCs w:val="22"/>
        </w:rPr>
        <w:t xml:space="preserve"/>
      </w:r>
    </w:p>
    <w:p>
      <w:pPr>
        <w:spacing w:after="160" w:line="300"/>
      </w:pPr>
      <w:r>
        <w:rPr>
          <w:color w:val="222222"/>
          <w:sz w:val="22"/>
          <w:szCs w:val="22"/>
        </w:rPr>
        <w:t xml:space="preserve">Both tests confirm a real, statistically significant relationship between BMI and charges, though the correlation strength is modest — BMI alone explains only a small part of the variation in cost, consistent with the scatter patterns seen earlier.</w:t>
      </w:r>
    </w:p>
    <w:p>
      <w:pPr>
        <w:pStyle w:val="Heading1"/>
        <w:pBdr>
          <w:bottom w:val="single" w:color="1F3864" w:sz="6" w:space="4"/>
        </w:pBdr>
        <w:spacing w:after="160" w:before="360"/>
      </w:pPr>
      <w:r>
        <w:rPr>
          <w:b/>
          <w:bCs/>
          <w:color w:val="1F3864"/>
          <w:sz w:val="30"/>
          <w:szCs w:val="30"/>
        </w:rPr>
        <w:t xml:space="preserve">5. Feature Engineering &amp; Preprocessing</w:t>
      </w:r>
    </w:p>
    <w:p>
      <w:pPr>
        <w:pStyle w:val="ListParagraph"/>
        <w:numPr>
          <w:ilvl w:val="0"/>
          <w:numId w:val="2"/>
        </w:numPr>
        <w:spacing w:after="90" w:line="280"/>
      </w:pPr>
      <w:r>
        <w:rPr>
          <w:color w:val="222222"/>
          <w:sz w:val="22"/>
          <w:szCs w:val="22"/>
        </w:rPr>
        <w:t xml:space="preserve">Log transformation: Since charges was strongly right-skewed with extreme high-cost outliers, a natural-log transform (charges_log) was applied to the target. This compresses the long right tail, stabilizes variance, and improves model fit — the outliers reflect real high-cost customers rather than data errors, so they were transformed rather than removed.</w:t>
      </w:r>
    </w:p>
    <w:p>
      <w:pPr>
        <w:pStyle w:val="ListParagraph"/>
        <w:numPr>
          <w:ilvl w:val="0"/>
          <w:numId w:val="2"/>
        </w:numPr>
        <w:spacing w:after="90" w:line="280"/>
      </w:pPr>
      <w:r>
        <w:rPr>
          <w:color w:val="222222"/>
          <w:sz w:val="22"/>
          <w:szCs w:val="22"/>
        </w:rPr>
        <w:t xml:space="preserve">Categorical encoding: sex, smoker, and region were label-encoded to numeric values so models could process them.</w:t>
      </w:r>
    </w:p>
    <w:p>
      <w:pPr>
        <w:pStyle w:val="ListParagraph"/>
        <w:numPr>
          <w:ilvl w:val="0"/>
          <w:numId w:val="2"/>
        </w:numPr>
        <w:spacing w:after="90" w:line="280"/>
      </w:pPr>
      <w:r>
        <w:rPr>
          <w:color w:val="222222"/>
          <w:sz w:val="22"/>
          <w:szCs w:val="22"/>
        </w:rPr>
        <w:t xml:space="preserve">Train/test split: An 80/20 split (random_state = 42) was used, training on age, sex, bmi, and smoker as predictors of log-charges.</w:t>
      </w:r>
    </w:p>
    <w:p>
      <w:pPr>
        <w:pStyle w:val="Heading1"/>
        <w:pBdr>
          <w:bottom w:val="single" w:color="1F3864" w:sz="6" w:space="4"/>
        </w:pBdr>
        <w:spacing w:after="160" w:before="360"/>
      </w:pPr>
      <w:r>
        <w:rPr>
          <w:b/>
          <w:bCs/>
          <w:color w:val="1F3864"/>
          <w:sz w:val="30"/>
          <w:szCs w:val="30"/>
        </w:rPr>
        <w:t xml:space="preserve">6. Predictive Modeling</w:t>
      </w:r>
    </w:p>
    <w:p>
      <w:pPr>
        <w:spacing w:after="160" w:line="300"/>
      </w:pPr>
      <w:r>
        <w:rPr>
          <w:color w:val="222222"/>
          <w:sz w:val="22"/>
          <w:szCs w:val="22"/>
        </w:rPr>
        <w:t xml:space="preserve">Four regression models were trained to predict log-transformed charges: Linear Regression (baseline), Random Forest, Gradient Boosting, and XGBoost. Each was evaluated on held-out test data using RMSE, MAE, R², and Adjusted R², then tuned with GridSearchCV / RandomizedSearchCV.</w:t>
      </w:r>
    </w:p>
    <w:p>
      <w:pPr>
        <w:pStyle w:val="Heading2"/>
        <w:spacing w:after="120" w:before="260"/>
      </w:pPr>
      <w:r>
        <w:rPr>
          <w:b/>
          <w:bCs/>
          <w:color w:val="4C72B0"/>
          <w:sz w:val="24"/>
          <w:szCs w:val="24"/>
        </w:rPr>
        <w:t xml:space="preserve">6.1 Model Performance Summary (test set, before tuning)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Model</w:t>
            </w:r>
          </w:p>
        </w:tc>
        <w:tc>
          <w:tcPr>
            <w:tcW w:type="dxa" w:w="1600"/>
            <w:shd w:fill="1F3864" w:val="clear"/>
            <w:tcMar>
              <w:top w:type="dxa" w:w="100"/>
              <w:left w:type="dxa" w:w="120"/>
              <w:bottom w:type="dxa" w:w="100"/>
              <w:right w:type="dxa" w:w="120"/>
            </w:tcMar>
          </w:tcPr>
          <w:p>
            <w:r>
              <w:rPr>
                <w:b/>
                <w:bCs/>
                <w:color w:val="FFFFFF"/>
                <w:sz w:val="20"/>
                <w:szCs w:val="20"/>
              </w:rPr>
              <w:t xml:space="preserve">RMSE</w:t>
            </w:r>
          </w:p>
        </w:tc>
        <w:tc>
          <w:tcPr>
            <w:tcW w:type="dxa" w:w="1600"/>
            <w:shd w:fill="1F3864" w:val="clear"/>
            <w:tcMar>
              <w:top w:type="dxa" w:w="100"/>
              <w:left w:type="dxa" w:w="120"/>
              <w:bottom w:type="dxa" w:w="100"/>
              <w:right w:type="dxa" w:w="120"/>
            </w:tcMar>
          </w:tcPr>
          <w:p>
            <w:r>
              <w:rPr>
                <w:b/>
                <w:bCs/>
                <w:color w:val="FFFFFF"/>
                <w:sz w:val="20"/>
                <w:szCs w:val="20"/>
              </w:rPr>
              <w:t xml:space="preserve">MAE</w:t>
            </w:r>
          </w:p>
        </w:tc>
        <w:tc>
          <w:tcPr>
            <w:tcW w:type="dxa" w:w="1600"/>
            <w:shd w:fill="1F3864" w:val="clear"/>
            <w:tcMar>
              <w:top w:type="dxa" w:w="100"/>
              <w:left w:type="dxa" w:w="120"/>
              <w:bottom w:type="dxa" w:w="100"/>
              <w:right w:type="dxa" w:w="120"/>
            </w:tcMar>
          </w:tcPr>
          <w:p>
            <w:r>
              <w:rPr>
                <w:b/>
                <w:bCs/>
                <w:color w:val="FFFFFF"/>
                <w:sz w:val="20"/>
                <w:szCs w:val="20"/>
              </w:rPr>
              <w:t xml:space="preserve">R² Score</w:t>
            </w:r>
          </w:p>
        </w:tc>
        <w:tc>
          <w:tcPr>
            <w:tcW w:type="dxa" w:w="1600"/>
            <w:shd w:fill="1F3864" w:val="clear"/>
            <w:tcMar>
              <w:top w:type="dxa" w:w="100"/>
              <w:left w:type="dxa" w:w="120"/>
              <w:bottom w:type="dxa" w:w="100"/>
              <w:right w:type="dxa" w:w="120"/>
            </w:tcMar>
          </w:tcPr>
          <w:p>
            <w:r>
              <w:rPr>
                <w:b/>
                <w:bCs/>
                <w:color w:val="FFFFFF"/>
                <w:sz w:val="20"/>
                <w:szCs w:val="20"/>
              </w:rPr>
              <w:t xml:space="preserve">Adjusted R²</w:t>
            </w:r>
          </w:p>
        </w:tc>
      </w:tr>
      <w:tr>
        <w:tc>
          <w:tcPr>
            <w:tcW w:type="dxa" w:w="2600"/>
            <w:shd w:fill="FFFFFF" w:val="clear"/>
            <w:tcMar>
              <w:top w:type="dxa" w:w="90"/>
              <w:left w:type="dxa" w:w="120"/>
              <w:bottom w:type="dxa" w:w="90"/>
              <w:right w:type="dxa" w:w="120"/>
            </w:tcMar>
          </w:tcPr>
          <w:p>
            <w:r>
              <w:rPr>
                <w:color w:val="222222"/>
                <w:sz w:val="20"/>
                <w:szCs w:val="20"/>
              </w:rPr>
              <w:t xml:space="preserve">Linear Regression</w:t>
            </w:r>
          </w:p>
        </w:tc>
        <w:tc>
          <w:tcPr>
            <w:tcW w:type="dxa" w:w="1600"/>
            <w:shd w:fill="FFFFFF" w:val="clear"/>
            <w:tcMar>
              <w:top w:type="dxa" w:w="90"/>
              <w:left w:type="dxa" w:w="120"/>
              <w:bottom w:type="dxa" w:w="90"/>
              <w:right w:type="dxa" w:w="120"/>
            </w:tcMar>
          </w:tcPr>
          <w:p>
            <w:r>
              <w:rPr>
                <w:color w:val="222222"/>
                <w:sz w:val="20"/>
                <w:szCs w:val="20"/>
              </w:rPr>
              <w:t xml:space="preserve">0.4526</w:t>
            </w:r>
          </w:p>
        </w:tc>
        <w:tc>
          <w:tcPr>
            <w:tcW w:type="dxa" w:w="1600"/>
            <w:shd w:fill="FFFFFF" w:val="clear"/>
            <w:tcMar>
              <w:top w:type="dxa" w:w="90"/>
              <w:left w:type="dxa" w:w="120"/>
              <w:bottom w:type="dxa" w:w="90"/>
              <w:right w:type="dxa" w:w="120"/>
            </w:tcMar>
          </w:tcPr>
          <w:p>
            <w:r>
              <w:rPr>
                <w:color w:val="222222"/>
                <w:sz w:val="20"/>
                <w:szCs w:val="20"/>
              </w:rPr>
              <w:t xml:space="preserve">0.2991</w:t>
            </w:r>
          </w:p>
        </w:tc>
        <w:tc>
          <w:tcPr>
            <w:tcW w:type="dxa" w:w="1600"/>
            <w:shd w:fill="FFFFFF" w:val="clear"/>
            <w:tcMar>
              <w:top w:type="dxa" w:w="90"/>
              <w:left w:type="dxa" w:w="120"/>
              <w:bottom w:type="dxa" w:w="90"/>
              <w:right w:type="dxa" w:w="120"/>
            </w:tcMar>
          </w:tcPr>
          <w:p>
            <w:r>
              <w:rPr>
                <w:color w:val="222222"/>
                <w:sz w:val="20"/>
                <w:szCs w:val="20"/>
              </w:rPr>
              <w:t xml:space="preserve">0.7722</w:t>
            </w:r>
          </w:p>
        </w:tc>
        <w:tc>
          <w:tcPr>
            <w:tcW w:type="dxa" w:w="1600"/>
            <w:shd w:fill="FFFFFF" w:val="clear"/>
            <w:tcMar>
              <w:top w:type="dxa" w:w="90"/>
              <w:left w:type="dxa" w:w="120"/>
              <w:bottom w:type="dxa" w:w="90"/>
              <w:right w:type="dxa" w:w="120"/>
            </w:tcMar>
          </w:tcPr>
          <w:p>
            <w:r>
              <w:rPr>
                <w:color w:val="222222"/>
                <w:sz w:val="20"/>
                <w:szCs w:val="20"/>
              </w:rPr>
              <w:t xml:space="preserve">0.7687</w:t>
            </w:r>
          </w:p>
        </w:tc>
      </w:tr>
      <w:tr>
        <w:tc>
          <w:tcPr>
            <w:tcW w:type="dxa" w:w="2600"/>
            <w:shd w:fill="EEF2F8" w:val="clear"/>
            <w:tcMar>
              <w:top w:type="dxa" w:w="90"/>
              <w:left w:type="dxa" w:w="120"/>
              <w:bottom w:type="dxa" w:w="90"/>
              <w:right w:type="dxa" w:w="120"/>
            </w:tcMar>
          </w:tcPr>
          <w:p>
            <w:r>
              <w:rPr>
                <w:color w:val="222222"/>
                <w:sz w:val="20"/>
                <w:szCs w:val="20"/>
              </w:rPr>
              <w:t xml:space="preserve">Random Forest</w:t>
            </w:r>
          </w:p>
        </w:tc>
        <w:tc>
          <w:tcPr>
            <w:tcW w:type="dxa" w:w="1600"/>
            <w:shd w:fill="EEF2F8" w:val="clear"/>
            <w:tcMar>
              <w:top w:type="dxa" w:w="90"/>
              <w:left w:type="dxa" w:w="120"/>
              <w:bottom w:type="dxa" w:w="90"/>
              <w:right w:type="dxa" w:w="120"/>
            </w:tcMar>
          </w:tcPr>
          <w:p>
            <w:r>
              <w:rPr>
                <w:color w:val="222222"/>
                <w:sz w:val="20"/>
                <w:szCs w:val="20"/>
              </w:rPr>
              <w:t xml:space="preserve">0.4174</w:t>
            </w:r>
          </w:p>
        </w:tc>
        <w:tc>
          <w:tcPr>
            <w:tcW w:type="dxa" w:w="1600"/>
            <w:shd w:fill="EEF2F8" w:val="clear"/>
            <w:tcMar>
              <w:top w:type="dxa" w:w="90"/>
              <w:left w:type="dxa" w:w="120"/>
              <w:bottom w:type="dxa" w:w="90"/>
              <w:right w:type="dxa" w:w="120"/>
            </w:tcMar>
          </w:tcPr>
          <w:p>
            <w:r>
              <w:rPr>
                <w:color w:val="222222"/>
                <w:sz w:val="20"/>
                <w:szCs w:val="20"/>
              </w:rPr>
              <w:t xml:space="preserve">0.2358</w:t>
            </w:r>
          </w:p>
        </w:tc>
        <w:tc>
          <w:tcPr>
            <w:tcW w:type="dxa" w:w="1600"/>
            <w:shd w:fill="EEF2F8" w:val="clear"/>
            <w:tcMar>
              <w:top w:type="dxa" w:w="90"/>
              <w:left w:type="dxa" w:w="120"/>
              <w:bottom w:type="dxa" w:w="90"/>
              <w:right w:type="dxa" w:w="120"/>
            </w:tcMar>
          </w:tcPr>
          <w:p>
            <w:r>
              <w:rPr>
                <w:color w:val="222222"/>
                <w:sz w:val="20"/>
                <w:szCs w:val="20"/>
              </w:rPr>
              <w:t xml:space="preserve">0.8062</w:t>
            </w:r>
          </w:p>
        </w:tc>
        <w:tc>
          <w:tcPr>
            <w:tcW w:type="dxa" w:w="1600"/>
            <w:shd w:fill="EEF2F8" w:val="clear"/>
            <w:tcMar>
              <w:top w:type="dxa" w:w="90"/>
              <w:left w:type="dxa" w:w="120"/>
              <w:bottom w:type="dxa" w:w="90"/>
              <w:right w:type="dxa" w:w="120"/>
            </w:tcMar>
          </w:tcPr>
          <w:p>
            <w:r>
              <w:rPr>
                <w:color w:val="222222"/>
                <w:sz w:val="20"/>
                <w:szCs w:val="20"/>
              </w:rPr>
              <w:t xml:space="preserve">0.8033</w:t>
            </w:r>
          </w:p>
        </w:tc>
      </w:tr>
      <w:tr>
        <w:tc>
          <w:tcPr>
            <w:tcW w:type="dxa" w:w="2600"/>
            <w:shd w:fill="FFFFFF" w:val="clear"/>
            <w:tcMar>
              <w:top w:type="dxa" w:w="90"/>
              <w:left w:type="dxa" w:w="120"/>
              <w:bottom w:type="dxa" w:w="90"/>
              <w:right w:type="dxa" w:w="120"/>
            </w:tcMar>
          </w:tcPr>
          <w:p>
            <w:r>
              <w:rPr>
                <w:color w:val="222222"/>
                <w:sz w:val="20"/>
                <w:szCs w:val="20"/>
              </w:rPr>
              <w:t xml:space="preserve">Gradient Boosting</w:t>
            </w:r>
          </w:p>
        </w:tc>
        <w:tc>
          <w:tcPr>
            <w:tcW w:type="dxa" w:w="1600"/>
            <w:shd w:fill="FFFFFF" w:val="clear"/>
            <w:tcMar>
              <w:top w:type="dxa" w:w="90"/>
              <w:left w:type="dxa" w:w="120"/>
              <w:bottom w:type="dxa" w:w="90"/>
              <w:right w:type="dxa" w:w="120"/>
            </w:tcMar>
          </w:tcPr>
          <w:p>
            <w:r>
              <w:rPr>
                <w:color w:val="222222"/>
                <w:sz w:val="20"/>
                <w:szCs w:val="20"/>
              </w:rPr>
              <w:t xml:space="preserve">0.3858</w:t>
            </w:r>
          </w:p>
        </w:tc>
        <w:tc>
          <w:tcPr>
            <w:tcW w:type="dxa" w:w="1600"/>
            <w:shd w:fill="FFFFFF" w:val="clear"/>
            <w:tcMar>
              <w:top w:type="dxa" w:w="90"/>
              <w:left w:type="dxa" w:w="120"/>
              <w:bottom w:type="dxa" w:w="90"/>
              <w:right w:type="dxa" w:w="120"/>
            </w:tcMar>
          </w:tcPr>
          <w:p>
            <w:r>
              <w:rPr>
                <w:color w:val="222222"/>
                <w:sz w:val="20"/>
                <w:szCs w:val="20"/>
              </w:rPr>
              <w:t xml:space="preserve">0.2177</w:t>
            </w:r>
          </w:p>
        </w:tc>
        <w:tc>
          <w:tcPr>
            <w:tcW w:type="dxa" w:w="1600"/>
            <w:shd w:fill="FFFFFF" w:val="clear"/>
            <w:tcMar>
              <w:top w:type="dxa" w:w="90"/>
              <w:left w:type="dxa" w:w="120"/>
              <w:bottom w:type="dxa" w:w="90"/>
              <w:right w:type="dxa" w:w="120"/>
            </w:tcMar>
          </w:tcPr>
          <w:p>
            <w:r>
              <w:rPr>
                <w:color w:val="222222"/>
                <w:sz w:val="20"/>
                <w:szCs w:val="20"/>
              </w:rPr>
              <w:t xml:space="preserve">0.8344</w:t>
            </w:r>
          </w:p>
        </w:tc>
        <w:tc>
          <w:tcPr>
            <w:tcW w:type="dxa" w:w="1600"/>
            <w:shd w:fill="FFFFFF" w:val="clear"/>
            <w:tcMar>
              <w:top w:type="dxa" w:w="90"/>
              <w:left w:type="dxa" w:w="120"/>
              <w:bottom w:type="dxa" w:w="90"/>
              <w:right w:type="dxa" w:w="120"/>
            </w:tcMar>
          </w:tcPr>
          <w:p>
            <w:r>
              <w:rPr>
                <w:color w:val="222222"/>
                <w:sz w:val="20"/>
                <w:szCs w:val="20"/>
              </w:rPr>
              <w:t xml:space="preserve">0.8319</w:t>
            </w:r>
          </w:p>
        </w:tc>
      </w:tr>
      <w:tr>
        <w:tc>
          <w:tcPr>
            <w:tcW w:type="dxa" w:w="2600"/>
            <w:shd w:fill="EEF2F8" w:val="clear"/>
            <w:tcMar>
              <w:top w:type="dxa" w:w="90"/>
              <w:left w:type="dxa" w:w="120"/>
              <w:bottom w:type="dxa" w:w="90"/>
              <w:right w:type="dxa" w:w="120"/>
            </w:tcMar>
          </w:tcPr>
          <w:p>
            <w:r>
              <w:rPr>
                <w:color w:val="222222"/>
                <w:sz w:val="20"/>
                <w:szCs w:val="20"/>
              </w:rPr>
              <w:t xml:space="preserve">XGBoost</w:t>
            </w:r>
          </w:p>
        </w:tc>
        <w:tc>
          <w:tcPr>
            <w:tcW w:type="dxa" w:w="1600"/>
            <w:shd w:fill="EEF2F8" w:val="clear"/>
            <w:tcMar>
              <w:top w:type="dxa" w:w="90"/>
              <w:left w:type="dxa" w:w="120"/>
              <w:bottom w:type="dxa" w:w="90"/>
              <w:right w:type="dxa" w:w="120"/>
            </w:tcMar>
          </w:tcPr>
          <w:p>
            <w:r>
              <w:rPr>
                <w:color w:val="222222"/>
                <w:sz w:val="20"/>
                <w:szCs w:val="20"/>
              </w:rPr>
              <w:t xml:space="preserve">0.3970</w:t>
            </w:r>
          </w:p>
        </w:tc>
        <w:tc>
          <w:tcPr>
            <w:tcW w:type="dxa" w:w="1600"/>
            <w:shd w:fill="EEF2F8" w:val="clear"/>
            <w:tcMar>
              <w:top w:type="dxa" w:w="90"/>
              <w:left w:type="dxa" w:w="120"/>
              <w:bottom w:type="dxa" w:w="90"/>
              <w:right w:type="dxa" w:w="120"/>
            </w:tcMar>
          </w:tcPr>
          <w:p>
            <w:r>
              <w:rPr>
                <w:color w:val="222222"/>
                <w:sz w:val="20"/>
                <w:szCs w:val="20"/>
              </w:rPr>
              <w:t xml:space="preserve">0.2245</w:t>
            </w:r>
          </w:p>
        </w:tc>
        <w:tc>
          <w:tcPr>
            <w:tcW w:type="dxa" w:w="1600"/>
            <w:shd w:fill="EEF2F8" w:val="clear"/>
            <w:tcMar>
              <w:top w:type="dxa" w:w="90"/>
              <w:left w:type="dxa" w:w="120"/>
              <w:bottom w:type="dxa" w:w="90"/>
              <w:right w:type="dxa" w:w="120"/>
            </w:tcMar>
          </w:tcPr>
          <w:p>
            <w:r>
              <w:rPr>
                <w:color w:val="222222"/>
                <w:sz w:val="20"/>
                <w:szCs w:val="20"/>
              </w:rPr>
              <w:t xml:space="preserve">0.8247</w:t>
            </w:r>
          </w:p>
        </w:tc>
        <w:tc>
          <w:tcPr>
            <w:tcW w:type="dxa" w:w="1600"/>
            <w:shd w:fill="EEF2F8" w:val="clear"/>
            <w:tcMar>
              <w:top w:type="dxa" w:w="90"/>
              <w:left w:type="dxa" w:w="120"/>
              <w:bottom w:type="dxa" w:w="90"/>
              <w:right w:type="dxa" w:w="120"/>
            </w:tcMar>
          </w:tcPr>
          <w:p>
            <w:r>
              <w:rPr>
                <w:color w:val="222222"/>
                <w:sz w:val="20"/>
                <w:szCs w:val="20"/>
              </w:rPr>
              <w:t xml:space="preserve">0.8221</w:t>
            </w:r>
          </w:p>
        </w:tc>
      </w:tr>
    </w:tbl>
    <w:p>
      <w:pPr>
        <w:spacing w:after="160" w:line="300"/>
      </w:pPr>
      <w:r>
        <w:rPr>
          <w:color w:val="222222"/>
          <w:sz w:val="22"/>
          <w:szCs w:val="22"/>
        </w:rPr>
        <w:t xml:space="preserve"/>
      </w:r>
    </w:p>
    <w:p>
      <w:pPr>
        <w:spacing w:after="40" w:before="160"/>
        <w:jc w:val="center"/>
      </w:pPr>
      <w:r>
        <w:drawing>
          <wp:inline distT="0" distB="0" distL="0" distR="0">
            <wp:extent cx="5760720" cy="2468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2468880"/>
                    </a:xfrm>
                    <a:prstGeom prst="rect">
                      <a:avLst/>
                    </a:prstGeom>
                  </pic:spPr>
                </pic:pic>
              </a:graphicData>
            </a:graphic>
          </wp:inline>
        </w:drawing>
      </w:r>
    </w:p>
    <w:p>
      <w:pPr>
        <w:spacing w:after="300" w:before="80"/>
        <w:jc w:val="center"/>
      </w:pPr>
      <w:r>
        <w:rPr>
          <w:i/>
          <w:iCs/>
          <w:color w:val="595959"/>
          <w:sz w:val="19"/>
          <w:szCs w:val="19"/>
        </w:rPr>
        <w:t xml:space="preserve">Figure 7. R² and RMSE comparison across the four models (test set, pre-tuning).</w:t>
      </w:r>
    </w:p>
    <w:p>
      <w:pPr>
        <w:pStyle w:val="Heading2"/>
        <w:spacing w:after="120" w:before="260"/>
      </w:pPr>
      <w:r>
        <w:rPr>
          <w:b/>
          <w:bCs/>
          <w:color w:val="4C72B0"/>
          <w:sz w:val="24"/>
          <w:szCs w:val="24"/>
        </w:rPr>
        <w:t xml:space="preserve">6.2 Hyperparameter Tuning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000"/>
      </w:tblGrid>
      <w:tr>
        <w:trPr>
          <w:tblHeader/>
        </w:trPr>
        <w:tc>
          <w:tcPr>
            <w:tcW w:type="dxa" w:w="2800"/>
            <w:shd w:fill="1F3864" w:val="clear"/>
            <w:tcMar>
              <w:top w:type="dxa" w:w="100"/>
              <w:left w:type="dxa" w:w="120"/>
              <w:bottom w:type="dxa" w:w="100"/>
              <w:right w:type="dxa" w:w="120"/>
            </w:tcMar>
          </w:tcPr>
          <w:p>
            <w:r>
              <w:rPr>
                <w:b/>
                <w:bCs/>
                <w:color w:val="FFFFFF"/>
                <w:sz w:val="20"/>
                <w:szCs w:val="20"/>
              </w:rPr>
              <w:t xml:space="preserve">Model</w:t>
            </w:r>
          </w:p>
        </w:tc>
        <w:tc>
          <w:tcPr>
            <w:tcW w:type="dxa" w:w="2200"/>
            <w:shd w:fill="1F3864" w:val="clear"/>
            <w:tcMar>
              <w:top w:type="dxa" w:w="100"/>
              <w:left w:type="dxa" w:w="120"/>
              <w:bottom w:type="dxa" w:w="100"/>
              <w:right w:type="dxa" w:w="120"/>
            </w:tcMar>
          </w:tcPr>
          <w:p>
            <w:r>
              <w:rPr>
                <w:b/>
                <w:bCs/>
                <w:color w:val="FFFFFF"/>
                <w:sz w:val="20"/>
                <w:szCs w:val="20"/>
              </w:rPr>
              <w:t xml:space="preserve">R² Before Tuning</w:t>
            </w:r>
          </w:p>
        </w:tc>
        <w:tc>
          <w:tcPr>
            <w:tcW w:type="dxa" w:w="2200"/>
            <w:shd w:fill="1F3864" w:val="clear"/>
            <w:tcMar>
              <w:top w:type="dxa" w:w="100"/>
              <w:left w:type="dxa" w:w="120"/>
              <w:bottom w:type="dxa" w:w="100"/>
              <w:right w:type="dxa" w:w="120"/>
            </w:tcMar>
          </w:tcPr>
          <w:p>
            <w:r>
              <w:rPr>
                <w:b/>
                <w:bCs/>
                <w:color w:val="FFFFFF"/>
                <w:sz w:val="20"/>
                <w:szCs w:val="20"/>
              </w:rPr>
              <w:t xml:space="preserve">R² After Tuning</w:t>
            </w:r>
          </w:p>
        </w:tc>
        <w:tc>
          <w:tcPr>
            <w:tcW w:type="dxa" w:w="2000"/>
            <w:shd w:fill="1F3864" w:val="clear"/>
            <w:tcMar>
              <w:top w:type="dxa" w:w="100"/>
              <w:left w:type="dxa" w:w="120"/>
              <w:bottom w:type="dxa" w:w="100"/>
              <w:right w:type="dxa" w:w="120"/>
            </w:tcMar>
          </w:tcPr>
          <w:p>
            <w:r>
              <w:rPr>
                <w:b/>
                <w:bCs/>
                <w:color w:val="FFFFFF"/>
                <w:sz w:val="20"/>
                <w:szCs w:val="20"/>
              </w:rPr>
              <w:t xml:space="preserve">Change</w:t>
            </w:r>
          </w:p>
        </w:tc>
      </w:tr>
      <w:tr>
        <w:tc>
          <w:tcPr>
            <w:tcW w:type="dxa" w:w="2800"/>
            <w:shd w:fill="FFFFFF" w:val="clear"/>
            <w:tcMar>
              <w:top w:type="dxa" w:w="90"/>
              <w:left w:type="dxa" w:w="120"/>
              <w:bottom w:type="dxa" w:w="90"/>
              <w:right w:type="dxa" w:w="120"/>
            </w:tcMar>
          </w:tcPr>
          <w:p>
            <w:r>
              <w:rPr>
                <w:color w:val="222222"/>
                <w:sz w:val="20"/>
                <w:szCs w:val="20"/>
              </w:rPr>
              <w:t xml:space="preserve">Linear Regression</w:t>
            </w:r>
          </w:p>
        </w:tc>
        <w:tc>
          <w:tcPr>
            <w:tcW w:type="dxa" w:w="2200"/>
            <w:shd w:fill="FFFFFF" w:val="clear"/>
            <w:tcMar>
              <w:top w:type="dxa" w:w="90"/>
              <w:left w:type="dxa" w:w="120"/>
              <w:bottom w:type="dxa" w:w="90"/>
              <w:right w:type="dxa" w:w="120"/>
            </w:tcMar>
          </w:tcPr>
          <w:p>
            <w:r>
              <w:rPr>
                <w:color w:val="222222"/>
                <w:sz w:val="20"/>
                <w:szCs w:val="20"/>
              </w:rPr>
              <w:t xml:space="preserve">0.7722</w:t>
            </w:r>
          </w:p>
        </w:tc>
        <w:tc>
          <w:tcPr>
            <w:tcW w:type="dxa" w:w="2200"/>
            <w:shd w:fill="FFFFFF" w:val="clear"/>
            <w:tcMar>
              <w:top w:type="dxa" w:w="90"/>
              <w:left w:type="dxa" w:w="120"/>
              <w:bottom w:type="dxa" w:w="90"/>
              <w:right w:type="dxa" w:w="120"/>
            </w:tcMar>
          </w:tcPr>
          <w:p>
            <w:r>
              <w:rPr>
                <w:color w:val="222222"/>
                <w:sz w:val="20"/>
                <w:szCs w:val="20"/>
              </w:rPr>
              <w:t xml:space="preserve">0.7722</w:t>
            </w:r>
          </w:p>
        </w:tc>
        <w:tc>
          <w:tcPr>
            <w:tcW w:type="dxa" w:w="2000"/>
            <w:shd w:fill="FFFFFF" w:val="clear"/>
            <w:tcMar>
              <w:top w:type="dxa" w:w="90"/>
              <w:left w:type="dxa" w:w="120"/>
              <w:bottom w:type="dxa" w:w="90"/>
              <w:right w:type="dxa" w:w="120"/>
            </w:tcMar>
          </w:tcPr>
          <w:p>
            <w:r>
              <w:rPr>
                <w:color w:val="222222"/>
                <w:sz w:val="20"/>
                <w:szCs w:val="20"/>
              </w:rPr>
              <w:t xml:space="preserve">No change</w:t>
            </w:r>
          </w:p>
        </w:tc>
      </w:tr>
      <w:tr>
        <w:tc>
          <w:tcPr>
            <w:tcW w:type="dxa" w:w="2800"/>
            <w:shd w:fill="EEF2F8" w:val="clear"/>
            <w:tcMar>
              <w:top w:type="dxa" w:w="90"/>
              <w:left w:type="dxa" w:w="120"/>
              <w:bottom w:type="dxa" w:w="90"/>
              <w:right w:type="dxa" w:w="120"/>
            </w:tcMar>
          </w:tcPr>
          <w:p>
            <w:r>
              <w:rPr>
                <w:color w:val="222222"/>
                <w:sz w:val="20"/>
                <w:szCs w:val="20"/>
              </w:rPr>
              <w:t xml:space="preserve">Random Forest</w:t>
            </w:r>
          </w:p>
        </w:tc>
        <w:tc>
          <w:tcPr>
            <w:tcW w:type="dxa" w:w="2200"/>
            <w:shd w:fill="EEF2F8" w:val="clear"/>
            <w:tcMar>
              <w:top w:type="dxa" w:w="90"/>
              <w:left w:type="dxa" w:w="120"/>
              <w:bottom w:type="dxa" w:w="90"/>
              <w:right w:type="dxa" w:w="120"/>
            </w:tcMar>
          </w:tcPr>
          <w:p>
            <w:r>
              <w:rPr>
                <w:color w:val="222222"/>
                <w:sz w:val="20"/>
                <w:szCs w:val="20"/>
              </w:rPr>
              <w:t xml:space="preserve">0.8062</w:t>
            </w:r>
          </w:p>
        </w:tc>
        <w:tc>
          <w:tcPr>
            <w:tcW w:type="dxa" w:w="2200"/>
            <w:shd w:fill="EEF2F8" w:val="clear"/>
            <w:tcMar>
              <w:top w:type="dxa" w:w="90"/>
              <w:left w:type="dxa" w:w="120"/>
              <w:bottom w:type="dxa" w:w="90"/>
              <w:right w:type="dxa" w:w="120"/>
            </w:tcMar>
          </w:tcPr>
          <w:p>
            <w:r>
              <w:rPr>
                <w:color w:val="222222"/>
                <w:sz w:val="20"/>
                <w:szCs w:val="20"/>
              </w:rPr>
              <w:t xml:space="preserve">0.8117</w:t>
            </w:r>
          </w:p>
        </w:tc>
        <w:tc>
          <w:tcPr>
            <w:tcW w:type="dxa" w:w="2000"/>
            <w:shd w:fill="EEF2F8" w:val="clear"/>
            <w:tcMar>
              <w:top w:type="dxa" w:w="90"/>
              <w:left w:type="dxa" w:w="120"/>
              <w:bottom w:type="dxa" w:w="90"/>
              <w:right w:type="dxa" w:w="120"/>
            </w:tcMar>
          </w:tcPr>
          <w:p>
            <w:r>
              <w:rPr>
                <w:color w:val="222222"/>
                <w:sz w:val="20"/>
                <w:szCs w:val="20"/>
              </w:rPr>
              <w:t xml:space="preserve">Small improvement</w:t>
            </w:r>
          </w:p>
        </w:tc>
      </w:tr>
      <w:tr>
        <w:tc>
          <w:tcPr>
            <w:tcW w:type="dxa" w:w="2800"/>
            <w:shd w:fill="FFFFFF" w:val="clear"/>
            <w:tcMar>
              <w:top w:type="dxa" w:w="90"/>
              <w:left w:type="dxa" w:w="120"/>
              <w:bottom w:type="dxa" w:w="90"/>
              <w:right w:type="dxa" w:w="120"/>
            </w:tcMar>
          </w:tcPr>
          <w:p>
            <w:r>
              <w:rPr>
                <w:color w:val="222222"/>
                <w:sz w:val="20"/>
                <w:szCs w:val="20"/>
              </w:rPr>
              <w:t xml:space="preserve">Gradient Boosting</w:t>
            </w:r>
          </w:p>
        </w:tc>
        <w:tc>
          <w:tcPr>
            <w:tcW w:type="dxa" w:w="2200"/>
            <w:shd w:fill="FFFFFF" w:val="clear"/>
            <w:tcMar>
              <w:top w:type="dxa" w:w="90"/>
              <w:left w:type="dxa" w:w="120"/>
              <w:bottom w:type="dxa" w:w="90"/>
              <w:right w:type="dxa" w:w="120"/>
            </w:tcMar>
          </w:tcPr>
          <w:p>
            <w:r>
              <w:rPr>
                <w:color w:val="222222"/>
                <w:sz w:val="20"/>
                <w:szCs w:val="20"/>
              </w:rPr>
              <w:t xml:space="preserve">0.8344</w:t>
            </w:r>
          </w:p>
        </w:tc>
        <w:tc>
          <w:tcPr>
            <w:tcW w:type="dxa" w:w="2200"/>
            <w:shd w:fill="FFFFFF" w:val="clear"/>
            <w:tcMar>
              <w:top w:type="dxa" w:w="90"/>
              <w:left w:type="dxa" w:w="120"/>
              <w:bottom w:type="dxa" w:w="90"/>
              <w:right w:type="dxa" w:w="120"/>
            </w:tcMar>
          </w:tcPr>
          <w:p>
            <w:r>
              <w:rPr>
                <w:color w:val="222222"/>
                <w:sz w:val="20"/>
                <w:szCs w:val="20"/>
              </w:rPr>
              <w:t xml:space="preserve">0.8313</w:t>
            </w:r>
          </w:p>
        </w:tc>
        <w:tc>
          <w:tcPr>
            <w:tcW w:type="dxa" w:w="2000"/>
            <w:shd w:fill="FFFFFF" w:val="clear"/>
            <w:tcMar>
              <w:top w:type="dxa" w:w="90"/>
              <w:left w:type="dxa" w:w="120"/>
              <w:bottom w:type="dxa" w:w="90"/>
              <w:right w:type="dxa" w:w="120"/>
            </w:tcMar>
          </w:tcPr>
          <w:p>
            <w:r>
              <w:rPr>
                <w:color w:val="222222"/>
                <w:sz w:val="20"/>
                <w:szCs w:val="20"/>
              </w:rPr>
              <w:t xml:space="preserve">No improvement (slightly lower)</w:t>
            </w:r>
          </w:p>
        </w:tc>
      </w:tr>
      <w:tr>
        <w:tc>
          <w:tcPr>
            <w:tcW w:type="dxa" w:w="2800"/>
            <w:shd w:fill="EEF2F8" w:val="clear"/>
            <w:tcMar>
              <w:top w:type="dxa" w:w="90"/>
              <w:left w:type="dxa" w:w="120"/>
              <w:bottom w:type="dxa" w:w="90"/>
              <w:right w:type="dxa" w:w="120"/>
            </w:tcMar>
          </w:tcPr>
          <w:p>
            <w:r>
              <w:rPr>
                <w:color w:val="222222"/>
                <w:sz w:val="20"/>
                <w:szCs w:val="20"/>
              </w:rPr>
              <w:t xml:space="preserve">XGBoost</w:t>
            </w:r>
          </w:p>
        </w:tc>
        <w:tc>
          <w:tcPr>
            <w:tcW w:type="dxa" w:w="2200"/>
            <w:shd w:fill="EEF2F8" w:val="clear"/>
            <w:tcMar>
              <w:top w:type="dxa" w:w="90"/>
              <w:left w:type="dxa" w:w="120"/>
              <w:bottom w:type="dxa" w:w="90"/>
              <w:right w:type="dxa" w:w="120"/>
            </w:tcMar>
          </w:tcPr>
          <w:p>
            <w:r>
              <w:rPr>
                <w:color w:val="222222"/>
                <w:sz w:val="20"/>
                <w:szCs w:val="20"/>
              </w:rPr>
              <w:t xml:space="preserve">0.8247</w:t>
            </w:r>
          </w:p>
        </w:tc>
        <w:tc>
          <w:tcPr>
            <w:tcW w:type="dxa" w:w="2200"/>
            <w:shd w:fill="EEF2F8" w:val="clear"/>
            <w:tcMar>
              <w:top w:type="dxa" w:w="90"/>
              <w:left w:type="dxa" w:w="120"/>
              <w:bottom w:type="dxa" w:w="90"/>
              <w:right w:type="dxa" w:w="120"/>
            </w:tcMar>
          </w:tcPr>
          <w:p>
            <w:r>
              <w:rPr>
                <w:color w:val="222222"/>
                <w:sz w:val="20"/>
                <w:szCs w:val="20"/>
              </w:rPr>
              <w:t xml:space="preserve">0.8318</w:t>
            </w:r>
          </w:p>
        </w:tc>
        <w:tc>
          <w:tcPr>
            <w:tcW w:type="dxa" w:w="2000"/>
            <w:shd w:fill="EEF2F8" w:val="clear"/>
            <w:tcMar>
              <w:top w:type="dxa" w:w="90"/>
              <w:left w:type="dxa" w:w="120"/>
              <w:bottom w:type="dxa" w:w="90"/>
              <w:right w:type="dxa" w:w="120"/>
            </w:tcMar>
          </w:tcPr>
          <w:p>
            <w:r>
              <w:rPr>
                <w:color w:val="222222"/>
                <w:sz w:val="20"/>
                <w:szCs w:val="20"/>
              </w:rPr>
              <w:t xml:space="preserve">Improved</w:t>
            </w:r>
          </w:p>
        </w:tc>
      </w:tr>
    </w:tbl>
    <w:p>
      <w:pPr>
        <w:spacing w:after="160" w:line="300"/>
      </w:pPr>
      <w:r>
        <w:rPr>
          <w:color w:val="222222"/>
          <w:sz w:val="22"/>
          <w:szCs w:val="22"/>
        </w:rPr>
        <w:t xml:space="preserve"/>
      </w:r>
    </w:p>
    <w:p>
      <w:pPr>
        <w:spacing w:after="160" w:line="300"/>
      </w:pPr>
      <w:r>
        <w:rPr>
          <w:color w:val="222222"/>
          <w:sz w:val="22"/>
          <w:szCs w:val="22"/>
        </w:rPr>
        <w:t xml:space="preserve">Gradient Boosting delivered the best out-of-the-box performance and remained the strongest model overall even after tuning, so it was selected as the final model for deployment. Its top features by importance were smoking status, age, and BMI — consistent with the EDA and hypothesis testing findings.</w:t>
      </w:r>
    </w:p>
    <w:p>
      <w:pPr>
        <w:pStyle w:val="ListParagraph"/>
        <w:numPr>
          <w:ilvl w:val="0"/>
          <w:numId w:val="2"/>
        </w:numPr>
        <w:spacing w:after="90" w:line="280"/>
      </w:pPr>
      <w:r>
        <w:rPr>
          <w:color w:val="222222"/>
          <w:sz w:val="22"/>
          <w:szCs w:val="22"/>
        </w:rPr>
        <w:t xml:space="preserve">Best model: Gradient Boosting Regressor (n_estimators=100, learning_rate=0.05)</w:t>
      </w:r>
    </w:p>
    <w:p>
      <w:pPr>
        <w:pStyle w:val="ListParagraph"/>
        <w:numPr>
          <w:ilvl w:val="0"/>
          <w:numId w:val="2"/>
        </w:numPr>
        <w:spacing w:after="90" w:line="280"/>
      </w:pPr>
      <w:r>
        <w:rPr>
          <w:color w:val="222222"/>
          <w:sz w:val="22"/>
          <w:szCs w:val="22"/>
        </w:rPr>
        <w:t xml:space="preserve">Final R² on test set: 0.834 (log-charges) — meaning the model explains roughly 83% of the variance in insurance charges</w:t>
      </w:r>
    </w:p>
    <w:p>
      <w:pPr>
        <w:pStyle w:val="ListParagraph"/>
        <w:numPr>
          <w:ilvl w:val="0"/>
          <w:numId w:val="2"/>
        </w:numPr>
        <w:spacing w:after="90" w:line="280"/>
      </w:pPr>
      <w:r>
        <w:rPr>
          <w:color w:val="222222"/>
          <w:sz w:val="22"/>
          <w:szCs w:val="22"/>
        </w:rPr>
        <w:t xml:space="preserve">Sanity check: the saved model correctly predicted ≈ $21,025 in charges for a 35-year-old male, BMI 28.5, smoker, southwest region</w:t>
      </w:r>
    </w:p>
    <w:p>
      <w:pPr>
        <w:pStyle w:val="Heading1"/>
        <w:pBdr>
          <w:bottom w:val="single" w:color="1F3864" w:sz="6" w:space="4"/>
        </w:pBdr>
        <w:spacing w:after="160" w:before="360"/>
      </w:pPr>
      <w:r>
        <w:rPr>
          <w:b/>
          <w:bCs/>
          <w:color w:val="1F3864"/>
          <w:sz w:val="30"/>
          <w:szCs w:val="30"/>
        </w:rPr>
        <w:t xml:space="preserve">7. Conclusion &amp; Recommendations</w:t>
      </w:r>
    </w:p>
    <w:p>
      <w:pPr>
        <w:spacing w:after="160" w:line="300"/>
      </w:pPr>
      <w:r>
        <w:rPr>
          <w:color w:val="222222"/>
          <w:sz w:val="22"/>
          <w:szCs w:val="22"/>
        </w:rPr>
        <w:t xml:space="preserve">This analysis confirms that medical insurance charges can be predicted reasonably well from a small set of demographic and lifestyle attributes. Smoking status is overwhelmingly the strongest cost driver, followed by age and BMI; sex, number of children, and region contribute comparatively little on their own.</w:t>
      </w:r>
    </w:p>
    <w:p>
      <w:pPr>
        <w:spacing w:after="160" w:line="300"/>
      </w:pPr>
      <w:r>
        <w:rPr>
          <w:color w:val="222222"/>
          <w:sz w:val="22"/>
          <w:szCs w:val="22"/>
        </w:rPr>
        <w:t xml:space="preserve">Business implications:</w:t>
      </w:r>
    </w:p>
    <w:p>
      <w:pPr>
        <w:pStyle w:val="ListParagraph"/>
        <w:numPr>
          <w:ilvl w:val="0"/>
          <w:numId w:val="2"/>
        </w:numPr>
        <w:spacing w:after="90" w:line="280"/>
      </w:pPr>
      <w:r>
        <w:rPr>
          <w:color w:val="222222"/>
          <w:sz w:val="22"/>
          <w:szCs w:val="22"/>
        </w:rPr>
        <w:t xml:space="preserve">Pricing &amp; risk assessment: Insurers can prioritize smoking status, age, and BMI as core inputs for premium calculation and risk segmentation.</w:t>
      </w:r>
    </w:p>
    <w:p>
      <w:pPr>
        <w:pStyle w:val="ListParagraph"/>
        <w:numPr>
          <w:ilvl w:val="0"/>
          <w:numId w:val="2"/>
        </w:numPr>
        <w:spacing w:after="90" w:line="280"/>
      </w:pPr>
      <w:r>
        <w:rPr>
          <w:color w:val="222222"/>
          <w:sz w:val="22"/>
          <w:szCs w:val="22"/>
        </w:rPr>
        <w:t xml:space="preserve">Targeted programs: Because smoking has such an outsized effect on cost, smoking-cessation and wellness programs could meaningfully reduce long-run claim costs.</w:t>
      </w:r>
    </w:p>
    <w:p>
      <w:pPr>
        <w:pStyle w:val="ListParagraph"/>
        <w:numPr>
          <w:ilvl w:val="0"/>
          <w:numId w:val="2"/>
        </w:numPr>
        <w:spacing w:after="90" w:line="280"/>
      </w:pPr>
      <w:r>
        <w:rPr>
          <w:color w:val="222222"/>
          <w:sz w:val="22"/>
          <w:szCs w:val="22"/>
        </w:rPr>
        <w:t xml:space="preserve">Model choice: Gradient Boosting is recommended for deployment given its consistently strong performance across metrics; XGBoost is a close, faster-tuning alternative.</w:t>
      </w:r>
    </w:p>
    <w:p>
      <w:pPr>
        <w:spacing w:after="160" w:line="300"/>
      </w:pPr>
      <w:r>
        <w:rPr>
          <w:color w:val="222222"/>
          <w:sz w:val="22"/>
          <w:szCs w:val="22"/>
        </w:rPr>
        <w:t xml:space="preserve">Suggested next steps: incorporate interaction terms (e.g., BMI × smoker), test additional models or stacking/ensembling, and gather more granular health data (e.g., chronic conditions) if available to further improve predictive accuracy.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Medical Insurance Cost — Data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e6539d8e55293b59314c25b4330a1df7f229bb.png"/><Relationship Id="rId10" Type="http://schemas.openxmlformats.org/officeDocument/2006/relationships/image" Target="media/2679458a6b61e23c88dd8d90bf469bb378ad7f8f.png"/><Relationship Id="rId11" Type="http://schemas.openxmlformats.org/officeDocument/2006/relationships/image" Target="media/7e2578f24d31d36674bf7452bc7253fe66f779b0.png"/><Relationship Id="rId12" Type="http://schemas.openxmlformats.org/officeDocument/2006/relationships/image" Target="media/202cdd00c426727372e4db8e99f05fb259349c81.png"/><Relationship Id="rId13" Type="http://schemas.openxmlformats.org/officeDocument/2006/relationships/image" Target="media/8610238722db7cd5e005fed6b981fecff2e76fe8.png"/><Relationship Id="rId14" Type="http://schemas.openxmlformats.org/officeDocument/2006/relationships/image" Target="media/95f86c6e917fb20849b78bcbf4e5a4643606ab33.png"/><Relationship Id="rId15" Type="http://schemas.openxmlformats.org/officeDocument/2006/relationships/image" Target="media/d2c2992a05a31b0fde7561f8927a87c76bafa40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2026-08-12T18:12:48.818Z</dcterms:created>
  <dcterms:modified xsi:type="dcterms:W3CDTF">2026-08-12T18:12:48.832Z</dcterms:modified>
</cp:coreProperties>
</file>

<file path=docProps/custom.xml><?xml version="1.0" encoding="utf-8"?>
<Properties xmlns="http://schemas.openxmlformats.org/officeDocument/2006/custom-properties" xmlns:vt="http://schemas.openxmlformats.org/officeDocument/2006/docPropsVTypes"/>
</file>