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6"/>
          <w:szCs w:val="46"/>
        </w:rPr>
        <w:t xml:space="preserve">MODEL PERFORMANCE</w:t>
      </w:r>
    </w:p>
    <w:p>
      <w:pPr>
        <w:spacing w:after="300"/>
        <w:jc w:val="center"/>
      </w:pPr>
      <w:r>
        <w:rPr>
          <w:b/>
          <w:bCs/>
          <w:color w:val="4C72B0"/>
          <w:sz w:val="36"/>
          <w:szCs w:val="36"/>
        </w:rPr>
        <w:t xml:space="preserve">&amp; PRODUCTION MODEL RECOMMENDATION</w:t>
      </w:r>
    </w:p>
    <w:p>
      <w:pPr>
        <w:spacing w:after="60" w:before="200"/>
        <w:jc w:val="center"/>
      </w:pPr>
      <w:r>
        <w:rPr>
          <w:i/>
          <w:iCs/>
          <w:color w:val="595959"/>
          <w:sz w:val="24"/>
          <w:szCs w:val="24"/>
        </w:rPr>
        <w:t xml:space="preserve">Comparing Linear Regression, Random Forest, Gradient Boosting &amp; XGBoost</w:t>
      </w:r>
    </w:p>
    <w:p>
      <w:pPr>
        <w:spacing w:before="700"/>
        <w:jc w:val="center"/>
      </w:pPr>
      <w:r>
        <w:rPr>
          <w:color w:val="595959"/>
          <w:sz w:val="20"/>
          <w:szCs w:val="20"/>
        </w:rPr>
        <w:t xml:space="preserve">Project: Medical Insurance Cost Prediction</w:t>
      </w:r>
    </w:p>
    <w:p>
      <w:pPr>
        <w:spacing w:before="100"/>
        <w:jc w:val="center"/>
      </w:pPr>
      <w:r>
        <w:rPr>
          <w:color w:val="595959"/>
          <w:sz w:val="20"/>
          <w:szCs w:val="20"/>
        </w:rPr>
        <w:t xml:space="preserve">Dataset: Insurance_Datasets.csv  |  1,338 records  ·  4 predictors (age, sex, bmi, smoker)</w:t>
      </w:r>
    </w:p>
    <w:p>
      <w:r>
        <w:br w:type="page"/>
      </w:r>
    </w:p>
    <w:p>
      <w:pPr>
        <w:pStyle w:val="Heading1"/>
        <w:pBdr>
          <w:bottom w:val="single" w:color="1F3864" w:sz="6" w:space="4"/>
        </w:pBdr>
        <w:spacing w:after="160" w:before="360"/>
      </w:pPr>
      <w:r>
        <w:rPr>
          <w:b/>
          <w:bCs/>
          <w:color w:val="1F3864"/>
          <w:sz w:val="30"/>
          <w:szCs w:val="30"/>
        </w:rPr>
        <w:t xml:space="preserve">1. Objective &amp; Evaluation Setup</w:t>
      </w:r>
    </w:p>
    <w:p>
      <w:pPr>
        <w:spacing w:after="160" w:line="300"/>
      </w:pPr>
      <w:r>
        <w:rPr>
          <w:color w:val="222222"/>
          <w:sz w:val="22"/>
          <w:szCs w:val="22"/>
        </w:rPr>
        <w:t xml:space="preserve">This report compares four regression models trained to predict medical insurance charges, and recommends which one should be deployed to production. All models were trained on the same 80/20 train-test split (random_state = 42) using age, sex, bmi, and smoker as predictors, against the log-transformed target charges_log (log transform used to correct the right-skew in raw charges).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Model</w:t>
            </w:r>
          </w:p>
        </w:tc>
        <w:tc>
          <w:tcPr>
            <w:tcW w:type="dxa" w:w="2400"/>
            <w:shd w:fill="1F3864" w:val="clear"/>
            <w:tcMar>
              <w:top w:type="dxa" w:w="100"/>
              <w:left w:type="dxa" w:w="120"/>
              <w:bottom w:type="dxa" w:w="100"/>
              <w:right w:type="dxa" w:w="120"/>
            </w:tcMar>
          </w:tcPr>
          <w:p>
            <w:r>
              <w:rPr>
                <w:b/>
                <w:bCs/>
                <w:color w:val="FFFFFF"/>
                <w:sz w:val="20"/>
                <w:szCs w:val="20"/>
              </w:rPr>
              <w:t xml:space="preserve">Type</w:t>
            </w:r>
          </w:p>
        </w:tc>
        <w:tc>
          <w:tcPr>
            <w:tcW w:type="dxa" w:w="4200"/>
            <w:shd w:fill="1F3864" w:val="clear"/>
            <w:tcMar>
              <w:top w:type="dxa" w:w="100"/>
              <w:left w:type="dxa" w:w="120"/>
              <w:bottom w:type="dxa" w:w="100"/>
              <w:right w:type="dxa" w:w="120"/>
            </w:tcMar>
          </w:tcPr>
          <w:p>
            <w:r>
              <w:rPr>
                <w:b/>
                <w:bCs/>
                <w:color w:val="FFFFFF"/>
                <w:sz w:val="20"/>
                <w:szCs w:val="20"/>
              </w:rPr>
              <w:t xml:space="preserve">Key Idea</w:t>
            </w:r>
          </w:p>
        </w:tc>
      </w:tr>
      <w:tr>
        <w:tc>
          <w:tcPr>
            <w:tcW w:type="dxa" w:w="2400"/>
            <w:shd w:fill="FFFFFF" w:val="clear"/>
            <w:tcMar>
              <w:top w:type="dxa" w:w="90"/>
              <w:left w:type="dxa" w:w="120"/>
              <w:bottom w:type="dxa" w:w="90"/>
              <w:right w:type="dxa" w:w="120"/>
            </w:tcMar>
          </w:tcPr>
          <w:p>
            <w:r>
              <w:rPr>
                <w:color w:val="222222"/>
                <w:sz w:val="20"/>
                <w:szCs w:val="20"/>
              </w:rPr>
              <w:t xml:space="preserve">Linear Regression</w:t>
            </w:r>
          </w:p>
        </w:tc>
        <w:tc>
          <w:tcPr>
            <w:tcW w:type="dxa" w:w="2400"/>
            <w:shd w:fill="FFFFFF" w:val="clear"/>
            <w:tcMar>
              <w:top w:type="dxa" w:w="90"/>
              <w:left w:type="dxa" w:w="120"/>
              <w:bottom w:type="dxa" w:w="90"/>
              <w:right w:type="dxa" w:w="120"/>
            </w:tcMar>
          </w:tcPr>
          <w:p>
            <w:r>
              <w:rPr>
                <w:color w:val="222222"/>
                <w:sz w:val="20"/>
                <w:szCs w:val="20"/>
              </w:rPr>
              <w:t xml:space="preserve">Linear baseline</w:t>
            </w:r>
          </w:p>
        </w:tc>
        <w:tc>
          <w:tcPr>
            <w:tcW w:type="dxa" w:w="4200"/>
            <w:shd w:fill="FFFFFF" w:val="clear"/>
            <w:tcMar>
              <w:top w:type="dxa" w:w="90"/>
              <w:left w:type="dxa" w:w="120"/>
              <w:bottom w:type="dxa" w:w="90"/>
              <w:right w:type="dxa" w:w="120"/>
            </w:tcMar>
          </w:tcPr>
          <w:p>
            <w:r>
              <w:rPr>
                <w:color w:val="222222"/>
                <w:sz w:val="20"/>
                <w:szCs w:val="20"/>
              </w:rPr>
              <w:t xml:space="preserve">Fits a single straight-line relationship between features and log-charges</w:t>
            </w:r>
          </w:p>
        </w:tc>
      </w:tr>
      <w:tr>
        <w:tc>
          <w:tcPr>
            <w:tcW w:type="dxa" w:w="2400"/>
            <w:shd w:fill="EEF2F8" w:val="clear"/>
            <w:tcMar>
              <w:top w:type="dxa" w:w="90"/>
              <w:left w:type="dxa" w:w="120"/>
              <w:bottom w:type="dxa" w:w="90"/>
              <w:right w:type="dxa" w:w="120"/>
            </w:tcMar>
          </w:tcPr>
          <w:p>
            <w:r>
              <w:rPr>
                <w:color w:val="222222"/>
                <w:sz w:val="20"/>
                <w:szCs w:val="20"/>
              </w:rPr>
              <w:t xml:space="preserve">Random Forest</w:t>
            </w:r>
          </w:p>
        </w:tc>
        <w:tc>
          <w:tcPr>
            <w:tcW w:type="dxa" w:w="2400"/>
            <w:shd w:fill="EEF2F8" w:val="clear"/>
            <w:tcMar>
              <w:top w:type="dxa" w:w="90"/>
              <w:left w:type="dxa" w:w="120"/>
              <w:bottom w:type="dxa" w:w="90"/>
              <w:right w:type="dxa" w:w="120"/>
            </w:tcMar>
          </w:tcPr>
          <w:p>
            <w:r>
              <w:rPr>
                <w:color w:val="222222"/>
                <w:sz w:val="20"/>
                <w:szCs w:val="20"/>
              </w:rPr>
              <w:t xml:space="preserve">Bagging ensemble</w:t>
            </w:r>
          </w:p>
        </w:tc>
        <w:tc>
          <w:tcPr>
            <w:tcW w:type="dxa" w:w="4200"/>
            <w:shd w:fill="EEF2F8" w:val="clear"/>
            <w:tcMar>
              <w:top w:type="dxa" w:w="90"/>
              <w:left w:type="dxa" w:w="120"/>
              <w:bottom w:type="dxa" w:w="90"/>
              <w:right w:type="dxa" w:w="120"/>
            </w:tcMar>
          </w:tcPr>
          <w:p>
            <w:r>
              <w:rPr>
                <w:color w:val="222222"/>
                <w:sz w:val="20"/>
                <w:szCs w:val="20"/>
              </w:rPr>
              <w:t xml:space="preserve">Averages many independent decision trees to reduce variance</w:t>
            </w:r>
          </w:p>
        </w:tc>
      </w:tr>
      <w:tr>
        <w:tc>
          <w:tcPr>
            <w:tcW w:type="dxa" w:w="2400"/>
            <w:shd w:fill="FFFFFF" w:val="clear"/>
            <w:tcMar>
              <w:top w:type="dxa" w:w="90"/>
              <w:left w:type="dxa" w:w="120"/>
              <w:bottom w:type="dxa" w:w="90"/>
              <w:right w:type="dxa" w:w="120"/>
            </w:tcMar>
          </w:tcPr>
          <w:p>
            <w:r>
              <w:rPr>
                <w:color w:val="222222"/>
                <w:sz w:val="20"/>
                <w:szCs w:val="20"/>
              </w:rPr>
              <w:t xml:space="preserve">Gradient Boosting</w:t>
            </w:r>
          </w:p>
        </w:tc>
        <w:tc>
          <w:tcPr>
            <w:tcW w:type="dxa" w:w="2400"/>
            <w:shd w:fill="FFFFFF" w:val="clear"/>
            <w:tcMar>
              <w:top w:type="dxa" w:w="90"/>
              <w:left w:type="dxa" w:w="120"/>
              <w:bottom w:type="dxa" w:w="90"/>
              <w:right w:type="dxa" w:w="120"/>
            </w:tcMar>
          </w:tcPr>
          <w:p>
            <w:r>
              <w:rPr>
                <w:color w:val="222222"/>
                <w:sz w:val="20"/>
                <w:szCs w:val="20"/>
              </w:rPr>
              <w:t xml:space="preserve">Boosting ensemble</w:t>
            </w:r>
          </w:p>
        </w:tc>
        <w:tc>
          <w:tcPr>
            <w:tcW w:type="dxa" w:w="4200"/>
            <w:shd w:fill="FFFFFF" w:val="clear"/>
            <w:tcMar>
              <w:top w:type="dxa" w:w="90"/>
              <w:left w:type="dxa" w:w="120"/>
              <w:bottom w:type="dxa" w:w="90"/>
              <w:right w:type="dxa" w:w="120"/>
            </w:tcMar>
          </w:tcPr>
          <w:p>
            <w:r>
              <w:rPr>
                <w:color w:val="222222"/>
                <w:sz w:val="20"/>
                <w:szCs w:val="20"/>
              </w:rPr>
              <w:t xml:space="preserve">Builds trees sequentially, each correcting the previous tree's errors</w:t>
            </w:r>
          </w:p>
        </w:tc>
      </w:tr>
      <w:tr>
        <w:tc>
          <w:tcPr>
            <w:tcW w:type="dxa" w:w="2400"/>
            <w:shd w:fill="EEF2F8" w:val="clear"/>
            <w:tcMar>
              <w:top w:type="dxa" w:w="90"/>
              <w:left w:type="dxa" w:w="120"/>
              <w:bottom w:type="dxa" w:w="90"/>
              <w:right w:type="dxa" w:w="120"/>
            </w:tcMar>
          </w:tcPr>
          <w:p>
            <w:r>
              <w:rPr>
                <w:color w:val="222222"/>
                <w:sz w:val="20"/>
                <w:szCs w:val="20"/>
              </w:rPr>
              <w:t xml:space="preserve">XGBoost</w:t>
            </w:r>
          </w:p>
        </w:tc>
        <w:tc>
          <w:tcPr>
            <w:tcW w:type="dxa" w:w="2400"/>
            <w:shd w:fill="EEF2F8" w:val="clear"/>
            <w:tcMar>
              <w:top w:type="dxa" w:w="90"/>
              <w:left w:type="dxa" w:w="120"/>
              <w:bottom w:type="dxa" w:w="90"/>
              <w:right w:type="dxa" w:w="120"/>
            </w:tcMar>
          </w:tcPr>
          <w:p>
            <w:r>
              <w:rPr>
                <w:color w:val="222222"/>
                <w:sz w:val="20"/>
                <w:szCs w:val="20"/>
              </w:rPr>
              <w:t xml:space="preserve">Regularized boosting</w:t>
            </w:r>
          </w:p>
        </w:tc>
        <w:tc>
          <w:tcPr>
            <w:tcW w:type="dxa" w:w="4200"/>
            <w:shd w:fill="EEF2F8" w:val="clear"/>
            <w:tcMar>
              <w:top w:type="dxa" w:w="90"/>
              <w:left w:type="dxa" w:w="120"/>
              <w:bottom w:type="dxa" w:w="90"/>
              <w:right w:type="dxa" w:w="120"/>
            </w:tcMar>
          </w:tcPr>
          <w:p>
            <w:r>
              <w:rPr>
                <w:color w:val="222222"/>
                <w:sz w:val="20"/>
                <w:szCs w:val="20"/>
              </w:rPr>
              <w:t xml:space="preserve">Optimized, regularized version of gradient boosting</w:t>
            </w:r>
          </w:p>
        </w:tc>
      </w:tr>
    </w:tbl>
    <w:p>
      <w:pPr>
        <w:spacing w:after="160" w:line="300"/>
      </w:pPr>
      <w:r>
        <w:rPr>
          <w:color w:val="222222"/>
          <w:sz w:val="22"/>
          <w:szCs w:val="22"/>
        </w:rPr>
        <w:t xml:space="preserve"/>
      </w:r>
    </w:p>
    <w:p>
      <w:pPr>
        <w:spacing w:after="160" w:line="300"/>
      </w:pPr>
      <w:r>
        <w:rPr>
          <w:color w:val="222222"/>
          <w:sz w:val="22"/>
          <w:szCs w:val="22"/>
        </w:rPr>
        <w:t xml:space="preserve">Each model was evaluated using four metrics: RMSE and MAE (lower is better — average prediction error, in log-charge units), R² and Adjusted R² (higher is better — proportion of variance explained).</w:t>
      </w:r>
    </w:p>
    <w:p>
      <w:pPr>
        <w:pStyle w:val="Heading1"/>
        <w:pBdr>
          <w:bottom w:val="single" w:color="1F3864" w:sz="6" w:space="4"/>
        </w:pBdr>
        <w:spacing w:after="160" w:before="360"/>
      </w:pPr>
      <w:r>
        <w:rPr>
          <w:b/>
          <w:bCs/>
          <w:color w:val="1F3864"/>
          <w:sz w:val="30"/>
          <w:szCs w:val="30"/>
        </w:rPr>
        <w:t xml:space="preserve">2. Performance Before Hyperparameter Tuning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Model</w:t>
            </w:r>
          </w:p>
        </w:tc>
        <w:tc>
          <w:tcPr>
            <w:tcW w:type="dxa" w:w="1600"/>
            <w:shd w:fill="1F3864" w:val="clear"/>
            <w:tcMar>
              <w:top w:type="dxa" w:w="100"/>
              <w:left w:type="dxa" w:w="120"/>
              <w:bottom w:type="dxa" w:w="100"/>
              <w:right w:type="dxa" w:w="120"/>
            </w:tcMar>
          </w:tcPr>
          <w:p>
            <w:r>
              <w:rPr>
                <w:b/>
                <w:bCs/>
                <w:color w:val="FFFFFF"/>
                <w:sz w:val="20"/>
                <w:szCs w:val="20"/>
              </w:rPr>
              <w:t xml:space="preserve">RMSE</w:t>
            </w:r>
          </w:p>
        </w:tc>
        <w:tc>
          <w:tcPr>
            <w:tcW w:type="dxa" w:w="1600"/>
            <w:shd w:fill="1F3864" w:val="clear"/>
            <w:tcMar>
              <w:top w:type="dxa" w:w="100"/>
              <w:left w:type="dxa" w:w="120"/>
              <w:bottom w:type="dxa" w:w="100"/>
              <w:right w:type="dxa" w:w="120"/>
            </w:tcMar>
          </w:tcPr>
          <w:p>
            <w:r>
              <w:rPr>
                <w:b/>
                <w:bCs/>
                <w:color w:val="FFFFFF"/>
                <w:sz w:val="20"/>
                <w:szCs w:val="20"/>
              </w:rPr>
              <w:t xml:space="preserve">MAE</w:t>
            </w:r>
          </w:p>
        </w:tc>
        <w:tc>
          <w:tcPr>
            <w:tcW w:type="dxa" w:w="1600"/>
            <w:shd w:fill="1F3864" w:val="clear"/>
            <w:tcMar>
              <w:top w:type="dxa" w:w="100"/>
              <w:left w:type="dxa" w:w="120"/>
              <w:bottom w:type="dxa" w:w="100"/>
              <w:right w:type="dxa" w:w="120"/>
            </w:tcMar>
          </w:tcPr>
          <w:p>
            <w:r>
              <w:rPr>
                <w:b/>
                <w:bCs/>
                <w:color w:val="FFFFFF"/>
                <w:sz w:val="20"/>
                <w:szCs w:val="20"/>
              </w:rPr>
              <w:t xml:space="preserve">R² Score</w:t>
            </w:r>
          </w:p>
        </w:tc>
        <w:tc>
          <w:tcPr>
            <w:tcW w:type="dxa" w:w="1600"/>
            <w:shd w:fill="1F3864" w:val="clear"/>
            <w:tcMar>
              <w:top w:type="dxa" w:w="100"/>
              <w:left w:type="dxa" w:w="120"/>
              <w:bottom w:type="dxa" w:w="100"/>
              <w:right w:type="dxa" w:w="120"/>
            </w:tcMar>
          </w:tcPr>
          <w:p>
            <w:r>
              <w:rPr>
                <w:b/>
                <w:bCs/>
                <w:color w:val="FFFFFF"/>
                <w:sz w:val="20"/>
                <w:szCs w:val="20"/>
              </w:rPr>
              <w:t xml:space="preserve">Adjusted R²</w:t>
            </w:r>
          </w:p>
        </w:tc>
      </w:tr>
      <w:tr>
        <w:tc>
          <w:tcPr>
            <w:tcW w:type="dxa" w:w="2600"/>
            <w:shd w:fill="FFFFFF" w:val="clear"/>
            <w:tcMar>
              <w:top w:type="dxa" w:w="90"/>
              <w:left w:type="dxa" w:w="120"/>
              <w:bottom w:type="dxa" w:w="90"/>
              <w:right w:type="dxa" w:w="120"/>
            </w:tcMar>
          </w:tcPr>
          <w:p>
            <w:r>
              <w:rPr>
                <w:color w:val="222222"/>
                <w:sz w:val="20"/>
                <w:szCs w:val="20"/>
              </w:rPr>
              <w:t xml:space="preserve">Linear Regression</w:t>
            </w:r>
          </w:p>
        </w:tc>
        <w:tc>
          <w:tcPr>
            <w:tcW w:type="dxa" w:w="1600"/>
            <w:shd w:fill="FFFFFF" w:val="clear"/>
            <w:tcMar>
              <w:top w:type="dxa" w:w="90"/>
              <w:left w:type="dxa" w:w="120"/>
              <w:bottom w:type="dxa" w:w="90"/>
              <w:right w:type="dxa" w:w="120"/>
            </w:tcMar>
          </w:tcPr>
          <w:p>
            <w:r>
              <w:rPr>
                <w:color w:val="222222"/>
                <w:sz w:val="20"/>
                <w:szCs w:val="20"/>
              </w:rPr>
              <w:t xml:space="preserve">0.4526</w:t>
            </w:r>
          </w:p>
        </w:tc>
        <w:tc>
          <w:tcPr>
            <w:tcW w:type="dxa" w:w="1600"/>
            <w:shd w:fill="FFFFFF" w:val="clear"/>
            <w:tcMar>
              <w:top w:type="dxa" w:w="90"/>
              <w:left w:type="dxa" w:w="120"/>
              <w:bottom w:type="dxa" w:w="90"/>
              <w:right w:type="dxa" w:w="120"/>
            </w:tcMar>
          </w:tcPr>
          <w:p>
            <w:r>
              <w:rPr>
                <w:color w:val="222222"/>
                <w:sz w:val="20"/>
                <w:szCs w:val="20"/>
              </w:rPr>
              <w:t xml:space="preserve">0.2991</w:t>
            </w:r>
          </w:p>
        </w:tc>
        <w:tc>
          <w:tcPr>
            <w:tcW w:type="dxa" w:w="1600"/>
            <w:shd w:fill="FFFFFF" w:val="clear"/>
            <w:tcMar>
              <w:top w:type="dxa" w:w="90"/>
              <w:left w:type="dxa" w:w="120"/>
              <w:bottom w:type="dxa" w:w="90"/>
              <w:right w:type="dxa" w:w="120"/>
            </w:tcMar>
          </w:tcPr>
          <w:p>
            <w:r>
              <w:rPr>
                <w:color w:val="222222"/>
                <w:sz w:val="20"/>
                <w:szCs w:val="20"/>
              </w:rPr>
              <w:t xml:space="preserve">0.7722</w:t>
            </w:r>
          </w:p>
        </w:tc>
        <w:tc>
          <w:tcPr>
            <w:tcW w:type="dxa" w:w="1600"/>
            <w:shd w:fill="FFFFFF" w:val="clear"/>
            <w:tcMar>
              <w:top w:type="dxa" w:w="90"/>
              <w:left w:type="dxa" w:w="120"/>
              <w:bottom w:type="dxa" w:w="90"/>
              <w:right w:type="dxa" w:w="120"/>
            </w:tcMar>
          </w:tcPr>
          <w:p>
            <w:r>
              <w:rPr>
                <w:color w:val="222222"/>
                <w:sz w:val="20"/>
                <w:szCs w:val="20"/>
              </w:rPr>
              <w:t xml:space="preserve">0.7687</w:t>
            </w:r>
          </w:p>
        </w:tc>
      </w:tr>
      <w:tr>
        <w:tc>
          <w:tcPr>
            <w:tcW w:type="dxa" w:w="2600"/>
            <w:shd w:fill="EEF2F8" w:val="clear"/>
            <w:tcMar>
              <w:top w:type="dxa" w:w="90"/>
              <w:left w:type="dxa" w:w="120"/>
              <w:bottom w:type="dxa" w:w="90"/>
              <w:right w:type="dxa" w:w="120"/>
            </w:tcMar>
          </w:tcPr>
          <w:p>
            <w:r>
              <w:rPr>
                <w:color w:val="222222"/>
                <w:sz w:val="20"/>
                <w:szCs w:val="20"/>
              </w:rPr>
              <w:t xml:space="preserve">Random Forest</w:t>
            </w:r>
          </w:p>
        </w:tc>
        <w:tc>
          <w:tcPr>
            <w:tcW w:type="dxa" w:w="1600"/>
            <w:shd w:fill="EEF2F8" w:val="clear"/>
            <w:tcMar>
              <w:top w:type="dxa" w:w="90"/>
              <w:left w:type="dxa" w:w="120"/>
              <w:bottom w:type="dxa" w:w="90"/>
              <w:right w:type="dxa" w:w="120"/>
            </w:tcMar>
          </w:tcPr>
          <w:p>
            <w:r>
              <w:rPr>
                <w:color w:val="222222"/>
                <w:sz w:val="20"/>
                <w:szCs w:val="20"/>
              </w:rPr>
              <w:t xml:space="preserve">0.4174</w:t>
            </w:r>
          </w:p>
        </w:tc>
        <w:tc>
          <w:tcPr>
            <w:tcW w:type="dxa" w:w="1600"/>
            <w:shd w:fill="EEF2F8" w:val="clear"/>
            <w:tcMar>
              <w:top w:type="dxa" w:w="90"/>
              <w:left w:type="dxa" w:w="120"/>
              <w:bottom w:type="dxa" w:w="90"/>
              <w:right w:type="dxa" w:w="120"/>
            </w:tcMar>
          </w:tcPr>
          <w:p>
            <w:r>
              <w:rPr>
                <w:color w:val="222222"/>
                <w:sz w:val="20"/>
                <w:szCs w:val="20"/>
              </w:rPr>
              <w:t xml:space="preserve">0.2358</w:t>
            </w:r>
          </w:p>
        </w:tc>
        <w:tc>
          <w:tcPr>
            <w:tcW w:type="dxa" w:w="1600"/>
            <w:shd w:fill="EEF2F8" w:val="clear"/>
            <w:tcMar>
              <w:top w:type="dxa" w:w="90"/>
              <w:left w:type="dxa" w:w="120"/>
              <w:bottom w:type="dxa" w:w="90"/>
              <w:right w:type="dxa" w:w="120"/>
            </w:tcMar>
          </w:tcPr>
          <w:p>
            <w:r>
              <w:rPr>
                <w:color w:val="222222"/>
                <w:sz w:val="20"/>
                <w:szCs w:val="20"/>
              </w:rPr>
              <w:t xml:space="preserve">0.8062</w:t>
            </w:r>
          </w:p>
        </w:tc>
        <w:tc>
          <w:tcPr>
            <w:tcW w:type="dxa" w:w="1600"/>
            <w:shd w:fill="EEF2F8" w:val="clear"/>
            <w:tcMar>
              <w:top w:type="dxa" w:w="90"/>
              <w:left w:type="dxa" w:w="120"/>
              <w:bottom w:type="dxa" w:w="90"/>
              <w:right w:type="dxa" w:w="120"/>
            </w:tcMar>
          </w:tcPr>
          <w:p>
            <w:r>
              <w:rPr>
                <w:color w:val="222222"/>
                <w:sz w:val="20"/>
                <w:szCs w:val="20"/>
              </w:rPr>
              <w:t xml:space="preserve">0.8033</w:t>
            </w:r>
          </w:p>
        </w:tc>
      </w:tr>
      <w:tr>
        <w:tc>
          <w:tcPr>
            <w:tcW w:type="dxa" w:w="2600"/>
            <w:shd w:fill="FFFFFF" w:val="clear"/>
            <w:tcMar>
              <w:top w:type="dxa" w:w="90"/>
              <w:left w:type="dxa" w:w="120"/>
              <w:bottom w:type="dxa" w:w="90"/>
              <w:right w:type="dxa" w:w="120"/>
            </w:tcMar>
          </w:tcPr>
          <w:p>
            <w:r>
              <w:rPr>
                <w:color w:val="222222"/>
                <w:sz w:val="20"/>
                <w:szCs w:val="20"/>
              </w:rPr>
              <w:t xml:space="preserve">Gradient Boosting</w:t>
            </w:r>
          </w:p>
        </w:tc>
        <w:tc>
          <w:tcPr>
            <w:tcW w:type="dxa" w:w="1600"/>
            <w:shd w:fill="FFFFFF" w:val="clear"/>
            <w:tcMar>
              <w:top w:type="dxa" w:w="90"/>
              <w:left w:type="dxa" w:w="120"/>
              <w:bottom w:type="dxa" w:w="90"/>
              <w:right w:type="dxa" w:w="120"/>
            </w:tcMar>
          </w:tcPr>
          <w:p>
            <w:r>
              <w:rPr>
                <w:color w:val="222222"/>
                <w:sz w:val="20"/>
                <w:szCs w:val="20"/>
              </w:rPr>
              <w:t xml:space="preserve">0.3858</w:t>
            </w:r>
          </w:p>
        </w:tc>
        <w:tc>
          <w:tcPr>
            <w:tcW w:type="dxa" w:w="1600"/>
            <w:shd w:fill="FFFFFF" w:val="clear"/>
            <w:tcMar>
              <w:top w:type="dxa" w:w="90"/>
              <w:left w:type="dxa" w:w="120"/>
              <w:bottom w:type="dxa" w:w="90"/>
              <w:right w:type="dxa" w:w="120"/>
            </w:tcMar>
          </w:tcPr>
          <w:p>
            <w:r>
              <w:rPr>
                <w:color w:val="222222"/>
                <w:sz w:val="20"/>
                <w:szCs w:val="20"/>
              </w:rPr>
              <w:t xml:space="preserve">0.2177</w:t>
            </w:r>
          </w:p>
        </w:tc>
        <w:tc>
          <w:tcPr>
            <w:tcW w:type="dxa" w:w="1600"/>
            <w:shd w:fill="FFFFFF" w:val="clear"/>
            <w:tcMar>
              <w:top w:type="dxa" w:w="90"/>
              <w:left w:type="dxa" w:w="120"/>
              <w:bottom w:type="dxa" w:w="90"/>
              <w:right w:type="dxa" w:w="120"/>
            </w:tcMar>
          </w:tcPr>
          <w:p>
            <w:r>
              <w:rPr>
                <w:color w:val="222222"/>
                <w:sz w:val="20"/>
                <w:szCs w:val="20"/>
              </w:rPr>
              <w:t xml:space="preserve">0.8344</w:t>
            </w:r>
          </w:p>
        </w:tc>
        <w:tc>
          <w:tcPr>
            <w:tcW w:type="dxa" w:w="1600"/>
            <w:shd w:fill="FFFFFF" w:val="clear"/>
            <w:tcMar>
              <w:top w:type="dxa" w:w="90"/>
              <w:left w:type="dxa" w:w="120"/>
              <w:bottom w:type="dxa" w:w="90"/>
              <w:right w:type="dxa" w:w="120"/>
            </w:tcMar>
          </w:tcPr>
          <w:p>
            <w:r>
              <w:rPr>
                <w:color w:val="222222"/>
                <w:sz w:val="20"/>
                <w:szCs w:val="20"/>
              </w:rPr>
              <w:t xml:space="preserve">0.8319</w:t>
            </w:r>
          </w:p>
        </w:tc>
      </w:tr>
      <w:tr>
        <w:tc>
          <w:tcPr>
            <w:tcW w:type="dxa" w:w="2600"/>
            <w:shd w:fill="EEF2F8" w:val="clear"/>
            <w:tcMar>
              <w:top w:type="dxa" w:w="90"/>
              <w:left w:type="dxa" w:w="120"/>
              <w:bottom w:type="dxa" w:w="90"/>
              <w:right w:type="dxa" w:w="120"/>
            </w:tcMar>
          </w:tcPr>
          <w:p>
            <w:r>
              <w:rPr>
                <w:color w:val="222222"/>
                <w:sz w:val="20"/>
                <w:szCs w:val="20"/>
              </w:rPr>
              <w:t xml:space="preserve">XGBoost</w:t>
            </w:r>
          </w:p>
        </w:tc>
        <w:tc>
          <w:tcPr>
            <w:tcW w:type="dxa" w:w="1600"/>
            <w:shd w:fill="EEF2F8" w:val="clear"/>
            <w:tcMar>
              <w:top w:type="dxa" w:w="90"/>
              <w:left w:type="dxa" w:w="120"/>
              <w:bottom w:type="dxa" w:w="90"/>
              <w:right w:type="dxa" w:w="120"/>
            </w:tcMar>
          </w:tcPr>
          <w:p>
            <w:r>
              <w:rPr>
                <w:color w:val="222222"/>
                <w:sz w:val="20"/>
                <w:szCs w:val="20"/>
              </w:rPr>
              <w:t xml:space="preserve">0.3970</w:t>
            </w:r>
          </w:p>
        </w:tc>
        <w:tc>
          <w:tcPr>
            <w:tcW w:type="dxa" w:w="1600"/>
            <w:shd w:fill="EEF2F8" w:val="clear"/>
            <w:tcMar>
              <w:top w:type="dxa" w:w="90"/>
              <w:left w:type="dxa" w:w="120"/>
              <w:bottom w:type="dxa" w:w="90"/>
              <w:right w:type="dxa" w:w="120"/>
            </w:tcMar>
          </w:tcPr>
          <w:p>
            <w:r>
              <w:rPr>
                <w:color w:val="222222"/>
                <w:sz w:val="20"/>
                <w:szCs w:val="20"/>
              </w:rPr>
              <w:t xml:space="preserve">0.2245</w:t>
            </w:r>
          </w:p>
        </w:tc>
        <w:tc>
          <w:tcPr>
            <w:tcW w:type="dxa" w:w="1600"/>
            <w:shd w:fill="EEF2F8" w:val="clear"/>
            <w:tcMar>
              <w:top w:type="dxa" w:w="90"/>
              <w:left w:type="dxa" w:w="120"/>
              <w:bottom w:type="dxa" w:w="90"/>
              <w:right w:type="dxa" w:w="120"/>
            </w:tcMar>
          </w:tcPr>
          <w:p>
            <w:r>
              <w:rPr>
                <w:color w:val="222222"/>
                <w:sz w:val="20"/>
                <w:szCs w:val="20"/>
              </w:rPr>
              <w:t xml:space="preserve">0.8247</w:t>
            </w:r>
          </w:p>
        </w:tc>
        <w:tc>
          <w:tcPr>
            <w:tcW w:type="dxa" w:w="1600"/>
            <w:shd w:fill="EEF2F8" w:val="clear"/>
            <w:tcMar>
              <w:top w:type="dxa" w:w="90"/>
              <w:left w:type="dxa" w:w="120"/>
              <w:bottom w:type="dxa" w:w="90"/>
              <w:right w:type="dxa" w:w="120"/>
            </w:tcMar>
          </w:tcPr>
          <w:p>
            <w:r>
              <w:rPr>
                <w:color w:val="222222"/>
                <w:sz w:val="20"/>
                <w:szCs w:val="20"/>
              </w:rPr>
              <w:t xml:space="preserve">0.8221</w:t>
            </w:r>
          </w:p>
        </w:tc>
      </w:tr>
    </w:tbl>
    <w:p>
      <w:pPr>
        <w:spacing w:after="160" w:line="300"/>
      </w:pPr>
      <w:r>
        <w:rPr>
          <w:color w:val="222222"/>
          <w:sz w:val="22"/>
          <w:szCs w:val="22"/>
        </w:rPr>
        <w:t xml:space="preserve"/>
      </w:r>
    </w:p>
    <w:p>
      <w:pPr>
        <w:spacing w:after="40" w:before="160"/>
        <w:jc w:val="center"/>
      </w:pPr>
      <w:r>
        <w:drawing>
          <wp:inline distT="0" distB="0" distL="0" distR="0">
            <wp:extent cx="5760720" cy="2468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468880"/>
                    </a:xfrm>
                    <a:prstGeom prst="rect">
                      <a:avLst/>
                    </a:prstGeom>
                  </pic:spPr>
                </pic:pic>
              </a:graphicData>
            </a:graphic>
          </wp:inline>
        </w:drawing>
      </w:r>
    </w:p>
    <w:p>
      <w:pPr>
        <w:spacing w:after="300" w:before="80"/>
        <w:jc w:val="center"/>
      </w:pPr>
      <w:r>
        <w:rPr>
          <w:i/>
          <w:iCs/>
          <w:color w:val="595959"/>
          <w:sz w:val="19"/>
          <w:szCs w:val="19"/>
        </w:rPr>
        <w:t xml:space="preserve">Figure 1. R² and RMSE comparison across the four models (test set, before tuning).</w:t>
      </w:r>
    </w:p>
    <w:p>
      <w:pPr>
        <w:spacing w:after="160" w:line="300"/>
      </w:pPr>
      <w:r>
        <w:rPr>
          <w:color w:val="222222"/>
          <w:sz w:val="22"/>
          <w:szCs w:val="22"/>
        </w:rPr>
        <w:t xml:space="preserve">Gradient Boosting had the best out-of-the-box performance on every metric. Linear Regression was clearly the weakest, confirming that the relationship between the predictors and charges is non-linear (as expected, given the interaction between smoking status and BMI observed during EDA).</w:t>
      </w:r>
    </w:p>
    <w:p>
      <w:pPr>
        <w:pStyle w:val="Heading1"/>
        <w:pBdr>
          <w:bottom w:val="single" w:color="1F3864" w:sz="6" w:space="4"/>
        </w:pBdr>
        <w:spacing w:after="160" w:before="360"/>
      </w:pPr>
      <w:r>
        <w:rPr>
          <w:b/>
          <w:bCs/>
          <w:color w:val="1F3864"/>
          <w:sz w:val="30"/>
          <w:szCs w:val="30"/>
        </w:rPr>
        <w:t xml:space="preserve">3. Performance After Hyperparameter Tuning</w:t>
      </w:r>
    </w:p>
    <w:p>
      <w:pPr>
        <w:spacing w:after="160" w:line="300"/>
      </w:pPr>
      <w:r>
        <w:rPr>
          <w:color w:val="222222"/>
          <w:sz w:val="22"/>
          <w:szCs w:val="22"/>
        </w:rPr>
        <w:t xml:space="preserve">Each model was tuned using GridSearchCV and/or RandomizedSearchCV (5-fold cross-validation, scoring = R²).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Model</w:t>
            </w:r>
          </w:p>
        </w:tc>
        <w:tc>
          <w:tcPr>
            <w:tcW w:type="dxa" w:w="2200"/>
            <w:shd w:fill="1F3864" w:val="clear"/>
            <w:tcMar>
              <w:top w:type="dxa" w:w="100"/>
              <w:left w:type="dxa" w:w="120"/>
              <w:bottom w:type="dxa" w:w="100"/>
              <w:right w:type="dxa" w:w="120"/>
            </w:tcMar>
          </w:tcPr>
          <w:p>
            <w:r>
              <w:rPr>
                <w:b/>
                <w:bCs/>
                <w:color w:val="FFFFFF"/>
                <w:sz w:val="20"/>
                <w:szCs w:val="20"/>
              </w:rPr>
              <w:t xml:space="preserve">R² Before Tuning</w:t>
            </w:r>
          </w:p>
        </w:tc>
        <w:tc>
          <w:tcPr>
            <w:tcW w:type="dxa" w:w="2200"/>
            <w:shd w:fill="1F3864" w:val="clear"/>
            <w:tcMar>
              <w:top w:type="dxa" w:w="100"/>
              <w:left w:type="dxa" w:w="120"/>
              <w:bottom w:type="dxa" w:w="100"/>
              <w:right w:type="dxa" w:w="120"/>
            </w:tcMar>
          </w:tcPr>
          <w:p>
            <w:r>
              <w:rPr>
                <w:b/>
                <w:bCs/>
                <w:color w:val="FFFFFF"/>
                <w:sz w:val="20"/>
                <w:szCs w:val="20"/>
              </w:rPr>
              <w:t xml:space="preserve">R² After Tuning</w:t>
            </w:r>
          </w:p>
        </w:tc>
        <w:tc>
          <w:tcPr>
            <w:tcW w:type="dxa" w:w="2000"/>
            <w:shd w:fill="1F3864" w:val="clear"/>
            <w:tcMar>
              <w:top w:type="dxa" w:w="100"/>
              <w:left w:type="dxa" w:w="120"/>
              <w:bottom w:type="dxa" w:w="100"/>
              <w:right w:type="dxa" w:w="120"/>
            </w:tcMar>
          </w:tcPr>
          <w:p>
            <w:r>
              <w:rPr>
                <w:b/>
                <w:bCs/>
                <w:color w:val="FFFFFF"/>
                <w:sz w:val="20"/>
                <w:szCs w:val="20"/>
              </w:rPr>
              <w:t xml:space="preserve">Change</w:t>
            </w:r>
          </w:p>
        </w:tc>
      </w:tr>
      <w:tr>
        <w:tc>
          <w:tcPr>
            <w:tcW w:type="dxa" w:w="2600"/>
            <w:shd w:fill="FFFFFF" w:val="clear"/>
            <w:tcMar>
              <w:top w:type="dxa" w:w="90"/>
              <w:left w:type="dxa" w:w="120"/>
              <w:bottom w:type="dxa" w:w="90"/>
              <w:right w:type="dxa" w:w="120"/>
            </w:tcMar>
          </w:tcPr>
          <w:p>
            <w:r>
              <w:rPr>
                <w:color w:val="222222"/>
                <w:sz w:val="20"/>
                <w:szCs w:val="20"/>
              </w:rPr>
              <w:t xml:space="preserve">Linear Regression</w:t>
            </w:r>
          </w:p>
        </w:tc>
        <w:tc>
          <w:tcPr>
            <w:tcW w:type="dxa" w:w="2200"/>
            <w:shd w:fill="FFFFFF" w:val="clear"/>
            <w:tcMar>
              <w:top w:type="dxa" w:w="90"/>
              <w:left w:type="dxa" w:w="120"/>
              <w:bottom w:type="dxa" w:w="90"/>
              <w:right w:type="dxa" w:w="120"/>
            </w:tcMar>
          </w:tcPr>
          <w:p>
            <w:r>
              <w:rPr>
                <w:color w:val="222222"/>
                <w:sz w:val="20"/>
                <w:szCs w:val="20"/>
              </w:rPr>
              <w:t xml:space="preserve">0.7722</w:t>
            </w:r>
          </w:p>
        </w:tc>
        <w:tc>
          <w:tcPr>
            <w:tcW w:type="dxa" w:w="2200"/>
            <w:shd w:fill="FFFFFF" w:val="clear"/>
            <w:tcMar>
              <w:top w:type="dxa" w:w="90"/>
              <w:left w:type="dxa" w:w="120"/>
              <w:bottom w:type="dxa" w:w="90"/>
              <w:right w:type="dxa" w:w="120"/>
            </w:tcMar>
          </w:tcPr>
          <w:p>
            <w:r>
              <w:rPr>
                <w:color w:val="222222"/>
                <w:sz w:val="20"/>
                <w:szCs w:val="20"/>
              </w:rPr>
              <w:t xml:space="preserve">0.7722</w:t>
            </w:r>
          </w:p>
        </w:tc>
        <w:tc>
          <w:tcPr>
            <w:tcW w:type="dxa" w:w="2000"/>
            <w:shd w:fill="FFFFFF" w:val="clear"/>
            <w:tcMar>
              <w:top w:type="dxa" w:w="90"/>
              <w:left w:type="dxa" w:w="120"/>
              <w:bottom w:type="dxa" w:w="90"/>
              <w:right w:type="dxa" w:w="120"/>
            </w:tcMar>
          </w:tcPr>
          <w:p>
            <w:r>
              <w:rPr>
                <w:color w:val="222222"/>
                <w:sz w:val="20"/>
                <w:szCs w:val="20"/>
              </w:rPr>
              <w:t xml:space="preserve">No change</w:t>
            </w:r>
          </w:p>
        </w:tc>
      </w:tr>
      <w:tr>
        <w:tc>
          <w:tcPr>
            <w:tcW w:type="dxa" w:w="2600"/>
            <w:shd w:fill="EEF2F8" w:val="clear"/>
            <w:tcMar>
              <w:top w:type="dxa" w:w="90"/>
              <w:left w:type="dxa" w:w="120"/>
              <w:bottom w:type="dxa" w:w="90"/>
              <w:right w:type="dxa" w:w="120"/>
            </w:tcMar>
          </w:tcPr>
          <w:p>
            <w:r>
              <w:rPr>
                <w:color w:val="222222"/>
                <w:sz w:val="20"/>
                <w:szCs w:val="20"/>
              </w:rPr>
              <w:t xml:space="preserve">Random Forest</w:t>
            </w:r>
          </w:p>
        </w:tc>
        <w:tc>
          <w:tcPr>
            <w:tcW w:type="dxa" w:w="2200"/>
            <w:shd w:fill="EEF2F8" w:val="clear"/>
            <w:tcMar>
              <w:top w:type="dxa" w:w="90"/>
              <w:left w:type="dxa" w:w="120"/>
              <w:bottom w:type="dxa" w:w="90"/>
              <w:right w:type="dxa" w:w="120"/>
            </w:tcMar>
          </w:tcPr>
          <w:p>
            <w:r>
              <w:rPr>
                <w:color w:val="222222"/>
                <w:sz w:val="20"/>
                <w:szCs w:val="20"/>
              </w:rPr>
              <w:t xml:space="preserve">0.8062</w:t>
            </w:r>
          </w:p>
        </w:tc>
        <w:tc>
          <w:tcPr>
            <w:tcW w:type="dxa" w:w="2200"/>
            <w:shd w:fill="EEF2F8" w:val="clear"/>
            <w:tcMar>
              <w:top w:type="dxa" w:w="90"/>
              <w:left w:type="dxa" w:w="120"/>
              <w:bottom w:type="dxa" w:w="90"/>
              <w:right w:type="dxa" w:w="120"/>
            </w:tcMar>
          </w:tcPr>
          <w:p>
            <w:r>
              <w:rPr>
                <w:color w:val="222222"/>
                <w:sz w:val="20"/>
                <w:szCs w:val="20"/>
              </w:rPr>
              <w:t xml:space="preserve">0.8117</w:t>
            </w:r>
          </w:p>
        </w:tc>
        <w:tc>
          <w:tcPr>
            <w:tcW w:type="dxa" w:w="2000"/>
            <w:shd w:fill="EEF2F8" w:val="clear"/>
            <w:tcMar>
              <w:top w:type="dxa" w:w="90"/>
              <w:left w:type="dxa" w:w="120"/>
              <w:bottom w:type="dxa" w:w="90"/>
              <w:right w:type="dxa" w:w="120"/>
            </w:tcMar>
          </w:tcPr>
          <w:p>
            <w:r>
              <w:rPr>
                <w:color w:val="222222"/>
                <w:sz w:val="20"/>
                <w:szCs w:val="20"/>
              </w:rPr>
              <w:t xml:space="preserve">+0.0055 (small improvement)</w:t>
            </w:r>
          </w:p>
        </w:tc>
      </w:tr>
      <w:tr>
        <w:tc>
          <w:tcPr>
            <w:tcW w:type="dxa" w:w="2600"/>
            <w:shd w:fill="FFFFFF" w:val="clear"/>
            <w:tcMar>
              <w:top w:type="dxa" w:w="90"/>
              <w:left w:type="dxa" w:w="120"/>
              <w:bottom w:type="dxa" w:w="90"/>
              <w:right w:type="dxa" w:w="120"/>
            </w:tcMar>
          </w:tcPr>
          <w:p>
            <w:r>
              <w:rPr>
                <w:color w:val="222222"/>
                <w:sz w:val="20"/>
                <w:szCs w:val="20"/>
              </w:rPr>
              <w:t xml:space="preserve">Gradient Boosting</w:t>
            </w:r>
          </w:p>
        </w:tc>
        <w:tc>
          <w:tcPr>
            <w:tcW w:type="dxa" w:w="2200"/>
            <w:shd w:fill="FFFFFF" w:val="clear"/>
            <w:tcMar>
              <w:top w:type="dxa" w:w="90"/>
              <w:left w:type="dxa" w:w="120"/>
              <w:bottom w:type="dxa" w:w="90"/>
              <w:right w:type="dxa" w:w="120"/>
            </w:tcMar>
          </w:tcPr>
          <w:p>
            <w:r>
              <w:rPr>
                <w:color w:val="222222"/>
                <w:sz w:val="20"/>
                <w:szCs w:val="20"/>
              </w:rPr>
              <w:t xml:space="preserve">0.8344</w:t>
            </w:r>
          </w:p>
        </w:tc>
        <w:tc>
          <w:tcPr>
            <w:tcW w:type="dxa" w:w="2200"/>
            <w:shd w:fill="FFFFFF" w:val="clear"/>
            <w:tcMar>
              <w:top w:type="dxa" w:w="90"/>
              <w:left w:type="dxa" w:w="120"/>
              <w:bottom w:type="dxa" w:w="90"/>
              <w:right w:type="dxa" w:w="120"/>
            </w:tcMar>
          </w:tcPr>
          <w:p>
            <w:r>
              <w:rPr>
                <w:color w:val="222222"/>
                <w:sz w:val="20"/>
                <w:szCs w:val="20"/>
              </w:rPr>
              <w:t xml:space="preserve">0.8313</w:t>
            </w:r>
          </w:p>
        </w:tc>
        <w:tc>
          <w:tcPr>
            <w:tcW w:type="dxa" w:w="2000"/>
            <w:shd w:fill="FFFFFF" w:val="clear"/>
            <w:tcMar>
              <w:top w:type="dxa" w:w="90"/>
              <w:left w:type="dxa" w:w="120"/>
              <w:bottom w:type="dxa" w:w="90"/>
              <w:right w:type="dxa" w:w="120"/>
            </w:tcMar>
          </w:tcPr>
          <w:p>
            <w:r>
              <w:rPr>
                <w:color w:val="222222"/>
                <w:sz w:val="20"/>
                <w:szCs w:val="20"/>
              </w:rPr>
              <w:t xml:space="preserve">−0.0031 (essentially unchanged)</w:t>
            </w:r>
          </w:p>
        </w:tc>
      </w:tr>
      <w:tr>
        <w:tc>
          <w:tcPr>
            <w:tcW w:type="dxa" w:w="2600"/>
            <w:shd w:fill="EEF2F8" w:val="clear"/>
            <w:tcMar>
              <w:top w:type="dxa" w:w="90"/>
              <w:left w:type="dxa" w:w="120"/>
              <w:bottom w:type="dxa" w:w="90"/>
              <w:right w:type="dxa" w:w="120"/>
            </w:tcMar>
          </w:tcPr>
          <w:p>
            <w:r>
              <w:rPr>
                <w:color w:val="222222"/>
                <w:sz w:val="20"/>
                <w:szCs w:val="20"/>
              </w:rPr>
              <w:t xml:space="preserve">XGBoost</w:t>
            </w:r>
          </w:p>
        </w:tc>
        <w:tc>
          <w:tcPr>
            <w:tcW w:type="dxa" w:w="2200"/>
            <w:shd w:fill="EEF2F8" w:val="clear"/>
            <w:tcMar>
              <w:top w:type="dxa" w:w="90"/>
              <w:left w:type="dxa" w:w="120"/>
              <w:bottom w:type="dxa" w:w="90"/>
              <w:right w:type="dxa" w:w="120"/>
            </w:tcMar>
          </w:tcPr>
          <w:p>
            <w:r>
              <w:rPr>
                <w:color w:val="222222"/>
                <w:sz w:val="20"/>
                <w:szCs w:val="20"/>
              </w:rPr>
              <w:t xml:space="preserve">0.8247</w:t>
            </w:r>
          </w:p>
        </w:tc>
        <w:tc>
          <w:tcPr>
            <w:tcW w:type="dxa" w:w="2200"/>
            <w:shd w:fill="EEF2F8" w:val="clear"/>
            <w:tcMar>
              <w:top w:type="dxa" w:w="90"/>
              <w:left w:type="dxa" w:w="120"/>
              <w:bottom w:type="dxa" w:w="90"/>
              <w:right w:type="dxa" w:w="120"/>
            </w:tcMar>
          </w:tcPr>
          <w:p>
            <w:r>
              <w:rPr>
                <w:color w:val="222222"/>
                <w:sz w:val="20"/>
                <w:szCs w:val="20"/>
              </w:rPr>
              <w:t xml:space="preserve">0.8318</w:t>
            </w:r>
          </w:p>
        </w:tc>
        <w:tc>
          <w:tcPr>
            <w:tcW w:type="dxa" w:w="2000"/>
            <w:shd w:fill="EEF2F8" w:val="clear"/>
            <w:tcMar>
              <w:top w:type="dxa" w:w="90"/>
              <w:left w:type="dxa" w:w="120"/>
              <w:bottom w:type="dxa" w:w="90"/>
              <w:right w:type="dxa" w:w="120"/>
            </w:tcMar>
          </w:tcPr>
          <w:p>
            <w:r>
              <w:rPr>
                <w:color w:val="222222"/>
                <w:sz w:val="20"/>
                <w:szCs w:val="20"/>
              </w:rPr>
              <w:t xml:space="preserve">+0.0071 (improved)</w:t>
            </w:r>
          </w:p>
        </w:tc>
      </w:tr>
    </w:tbl>
    <w:p>
      <w:pPr>
        <w:spacing w:after="160" w:line="300"/>
      </w:pPr>
      <w:r>
        <w:rPr>
          <w:color w:val="222222"/>
          <w:sz w:val="22"/>
          <w:szCs w:val="22"/>
        </w:rPr>
        <w:t xml:space="preserve"/>
      </w:r>
    </w:p>
    <w:p>
      <w:pPr>
        <w:spacing w:after="160" w:line="300"/>
      </w:pPr>
      <w:r>
        <w:rPr>
          <w:color w:val="222222"/>
          <w:sz w:val="22"/>
          <w:szCs w:val="22"/>
        </w:rPr>
        <w:t xml:space="preserve">Tuning narrowed the gap between the three ensemble models — after tuning, Gradient Boosting, XGBoost, and the tuned Random Forest all land within about 0.02 R² of each other. Gradient Boosting still edges out the others, but the margin over XGBoost specifically is now very small.</w:t>
      </w:r>
    </w:p>
    <w:p>
      <w:pPr>
        <w:pStyle w:val="Heading1"/>
        <w:pBdr>
          <w:bottom w:val="single" w:color="1F3864" w:sz="6" w:space="4"/>
        </w:pBdr>
        <w:spacing w:after="160" w:before="360"/>
      </w:pPr>
      <w:r>
        <w:rPr>
          <w:b/>
          <w:bCs/>
          <w:color w:val="1F3864"/>
          <w:sz w:val="30"/>
          <w:szCs w:val="30"/>
        </w:rPr>
        <w:t xml:space="preserve">4. A Closer Look at the Leading Model — Gradient Boosting</w:t>
      </w:r>
    </w:p>
    <w:p>
      <w:pPr>
        <w:pStyle w:val="Heading2"/>
        <w:spacing w:after="120" w:before="260"/>
      </w:pPr>
      <w:r>
        <w:rPr>
          <w:b/>
          <w:bCs/>
          <w:color w:val="4C72B0"/>
          <w:sz w:val="24"/>
          <w:szCs w:val="24"/>
        </w:rPr>
        <w:t xml:space="preserve">4.1 Feature Importance</w:t>
      </w:r>
    </w:p>
    <w:p>
      <w:pPr>
        <w:spacing w:after="160" w:line="300"/>
      </w:pPr>
      <w:r>
        <w:rPr>
          <w:color w:val="222222"/>
          <w:sz w:val="22"/>
          <w:szCs w:val="22"/>
        </w:rPr>
        <w:t xml:space="preserve">Feature importance from the trained Gradient Boosting model confirms what the exploratory analysis and hypothesis tests already suggested: smoking status dominates the prediction, with age and BMI contributing secondary but meaningful signal, and sex contributing very little.</w:t>
      </w:r>
    </w:p>
    <w:p>
      <w:pPr>
        <w:spacing w:after="40" w:before="160"/>
        <w:jc w:val="center"/>
      </w:pPr>
      <w:r>
        <w:drawing>
          <wp:inline distT="0" distB="0" distL="0" distR="0">
            <wp:extent cx="47548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3200400"/>
                    </a:xfrm>
                    <a:prstGeom prst="rect">
                      <a:avLst/>
                    </a:prstGeom>
                  </pic:spPr>
                </pic:pic>
              </a:graphicData>
            </a:graphic>
          </wp:inline>
        </w:drawing>
      </w:r>
    </w:p>
    <w:p>
      <w:pPr>
        <w:spacing w:after="300" w:before="80"/>
        <w:jc w:val="center"/>
      </w:pPr>
      <w:r>
        <w:rPr>
          <w:i/>
          <w:iCs/>
          <w:color w:val="595959"/>
          <w:sz w:val="19"/>
          <w:szCs w:val="19"/>
        </w:rPr>
        <w:t xml:space="preserve">Figure 2. Feature importance — Gradient Boosting.</w:t>
      </w:r>
    </w:p>
    <w:p>
      <w:pPr>
        <w:pStyle w:val="Heading2"/>
        <w:spacing w:after="120" w:before="260"/>
      </w:pPr>
      <w:r>
        <w:rPr>
          <w:b/>
          <w:bCs/>
          <w:color w:val="4C72B0"/>
          <w:sz w:val="24"/>
          <w:szCs w:val="24"/>
        </w:rPr>
        <w:t xml:space="preserve">4.2 Predicted vs. Actual Charges</w:t>
      </w:r>
    </w:p>
    <w:p>
      <w:pPr>
        <w:spacing w:after="160" w:line="300"/>
      </w:pPr>
      <w:r>
        <w:rPr>
          <w:color w:val="222222"/>
          <w:sz w:val="22"/>
          <w:szCs w:val="22"/>
        </w:rPr>
        <w:t xml:space="preserve">Plotting predicted charges against actual charges (converted back from log scale) shows predictions tracking the diagonal reasonably well across most of the range, with more spread at the highest charge levels — consistent with those being the hardest, most variable cases to predict precisely.</w:t>
      </w:r>
    </w:p>
    <w:p>
      <w:pPr>
        <w:spacing w:after="40" w:before="160"/>
        <w:jc w:val="center"/>
      </w:pPr>
      <w:r>
        <w:drawing>
          <wp:inline distT="0" distB="0" distL="0" distR="0">
            <wp:extent cx="420624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3840480"/>
                    </a:xfrm>
                    <a:prstGeom prst="rect">
                      <a:avLst/>
                    </a:prstGeom>
                  </pic:spPr>
                </pic:pic>
              </a:graphicData>
            </a:graphic>
          </wp:inline>
        </w:drawing>
      </w:r>
    </w:p>
    <w:p>
      <w:pPr>
        <w:spacing w:after="300" w:before="80"/>
        <w:jc w:val="center"/>
      </w:pPr>
      <w:r>
        <w:rPr>
          <w:i/>
          <w:iCs/>
          <w:color w:val="595959"/>
          <w:sz w:val="19"/>
          <w:szCs w:val="19"/>
        </w:rPr>
        <w:t xml:space="preserve">Figure 3. Gradient Boosting — predicted vs. actual charges on the test set.</w:t>
      </w:r>
    </w:p>
    <w:p>
      <w:pPr>
        <w:spacing w:after="160" w:line="300"/>
      </w:pPr>
      <w:r>
        <w:rPr>
          <w:color w:val="222222"/>
          <w:sz w:val="22"/>
          <w:szCs w:val="22"/>
        </w:rPr>
        <w:t xml:space="preserve">A sanity check on a new, unseen record (age 35, male, BMI 28.5, smoker) returned a predicted charge of approximately $21,025, which is directionally consistent with the smoker/BMI/age patterns identified in the data.</w:t>
      </w:r>
    </w:p>
    <w:p>
      <w:pPr>
        <w:pStyle w:val="Heading1"/>
        <w:pBdr>
          <w:bottom w:val="single" w:color="1F3864" w:sz="6" w:space="4"/>
        </w:pBdr>
        <w:spacing w:after="160" w:before="360"/>
      </w:pPr>
      <w:r>
        <w:rPr>
          <w:b/>
          <w:bCs/>
          <w:color w:val="1F3864"/>
          <w:sz w:val="30"/>
          <w:szCs w:val="30"/>
        </w:rPr>
        <w:t xml:space="preserve">5. Production Considerations Beyond Accuracy</w:t>
      </w:r>
    </w:p>
    <w:p>
      <w:pPr>
        <w:spacing w:after="160" w:line="300"/>
      </w:pPr>
      <w:r>
        <w:rPr>
          <w:color w:val="222222"/>
          <w:sz w:val="22"/>
          <w:szCs w:val="22"/>
        </w:rPr>
        <w:t xml:space="preserve">Accuracy (R²/RMSE) is the primary criterion, but a production choice should also weigh training/inference cost, stability, and interpretability.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4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Model</w:t>
            </w:r>
          </w:p>
        </w:tc>
        <w:tc>
          <w:tcPr>
            <w:tcW w:type="dxa" w:w="1800"/>
            <w:shd w:fill="1F3864" w:val="clear"/>
            <w:tcMar>
              <w:top w:type="dxa" w:w="100"/>
              <w:left w:type="dxa" w:w="120"/>
              <w:bottom w:type="dxa" w:w="100"/>
              <w:right w:type="dxa" w:w="120"/>
            </w:tcMar>
          </w:tcPr>
          <w:p>
            <w:r>
              <w:rPr>
                <w:b/>
                <w:bCs/>
                <w:color w:val="FFFFFF"/>
                <w:sz w:val="20"/>
                <w:szCs w:val="20"/>
              </w:rPr>
              <w:t xml:space="preserve">Relative Train Speed</w:t>
            </w:r>
          </w:p>
        </w:tc>
        <w:tc>
          <w:tcPr>
            <w:tcW w:type="dxa" w:w="1800"/>
            <w:shd w:fill="1F3864" w:val="clear"/>
            <w:tcMar>
              <w:top w:type="dxa" w:w="100"/>
              <w:left w:type="dxa" w:w="120"/>
              <w:bottom w:type="dxa" w:w="100"/>
              <w:right w:type="dxa" w:w="120"/>
            </w:tcMar>
          </w:tcPr>
          <w:p>
            <w:r>
              <w:rPr>
                <w:b/>
                <w:bCs/>
                <w:color w:val="FFFFFF"/>
                <w:sz w:val="20"/>
                <w:szCs w:val="20"/>
              </w:rPr>
              <w:t xml:space="preserve">Relative Predict Speed</w:t>
            </w:r>
          </w:p>
        </w:tc>
        <w:tc>
          <w:tcPr>
            <w:tcW w:type="dxa" w:w="1800"/>
            <w:shd w:fill="1F3864" w:val="clear"/>
            <w:tcMar>
              <w:top w:type="dxa" w:w="100"/>
              <w:left w:type="dxa" w:w="120"/>
              <w:bottom w:type="dxa" w:w="100"/>
              <w:right w:type="dxa" w:w="120"/>
            </w:tcMar>
          </w:tcPr>
          <w:p>
            <w:r>
              <w:rPr>
                <w:b/>
                <w:bCs/>
                <w:color w:val="FFFFFF"/>
                <w:sz w:val="20"/>
                <w:szCs w:val="20"/>
              </w:rPr>
              <w:t xml:space="preserve">Interpretability</w:t>
            </w:r>
          </w:p>
        </w:tc>
        <w:tc>
          <w:tcPr>
            <w:tcW w:type="dxa" w:w="1400"/>
            <w:shd w:fill="1F3864" w:val="clear"/>
            <w:tcMar>
              <w:top w:type="dxa" w:w="100"/>
              <w:left w:type="dxa" w:w="120"/>
              <w:bottom w:type="dxa" w:w="100"/>
              <w:right w:type="dxa" w:w="120"/>
            </w:tcMar>
          </w:tcPr>
          <w:p>
            <w:r>
              <w:rPr>
                <w:b/>
                <w:bCs/>
                <w:color w:val="FFFFFF"/>
                <w:sz w:val="20"/>
                <w:szCs w:val="20"/>
              </w:rPr>
              <w:t xml:space="preserve">Tuning Sensitivity</w:t>
            </w:r>
          </w:p>
        </w:tc>
      </w:tr>
      <w:tr>
        <w:tc>
          <w:tcPr>
            <w:tcW w:type="dxa" w:w="2200"/>
            <w:shd w:fill="FFFFFF" w:val="clear"/>
            <w:tcMar>
              <w:top w:type="dxa" w:w="90"/>
              <w:left w:type="dxa" w:w="120"/>
              <w:bottom w:type="dxa" w:w="90"/>
              <w:right w:type="dxa" w:w="120"/>
            </w:tcMar>
          </w:tcPr>
          <w:p>
            <w:r>
              <w:rPr>
                <w:color w:val="222222"/>
                <w:sz w:val="20"/>
                <w:szCs w:val="20"/>
              </w:rPr>
              <w:t xml:space="preserve">Linear Regression</w:t>
            </w:r>
          </w:p>
        </w:tc>
        <w:tc>
          <w:tcPr>
            <w:tcW w:type="dxa" w:w="1800"/>
            <w:shd w:fill="FFFFFF" w:val="clear"/>
            <w:tcMar>
              <w:top w:type="dxa" w:w="90"/>
              <w:left w:type="dxa" w:w="120"/>
              <w:bottom w:type="dxa" w:w="90"/>
              <w:right w:type="dxa" w:w="120"/>
            </w:tcMar>
          </w:tcPr>
          <w:p>
            <w:r>
              <w:rPr>
                <w:color w:val="222222"/>
                <w:sz w:val="20"/>
                <w:szCs w:val="20"/>
              </w:rPr>
              <w:t xml:space="preserve">Fastest</w:t>
            </w:r>
          </w:p>
        </w:tc>
        <w:tc>
          <w:tcPr>
            <w:tcW w:type="dxa" w:w="1800"/>
            <w:shd w:fill="FFFFFF" w:val="clear"/>
            <w:tcMar>
              <w:top w:type="dxa" w:w="90"/>
              <w:left w:type="dxa" w:w="120"/>
              <w:bottom w:type="dxa" w:w="90"/>
              <w:right w:type="dxa" w:w="120"/>
            </w:tcMar>
          </w:tcPr>
          <w:p>
            <w:r>
              <w:rPr>
                <w:color w:val="222222"/>
                <w:sz w:val="20"/>
                <w:szCs w:val="20"/>
              </w:rPr>
              <w:t xml:space="preserve">Fastest</w:t>
            </w:r>
          </w:p>
        </w:tc>
        <w:tc>
          <w:tcPr>
            <w:tcW w:type="dxa" w:w="1800"/>
            <w:shd w:fill="FFFFFF" w:val="clear"/>
            <w:tcMar>
              <w:top w:type="dxa" w:w="90"/>
              <w:left w:type="dxa" w:w="120"/>
              <w:bottom w:type="dxa" w:w="90"/>
              <w:right w:type="dxa" w:w="120"/>
            </w:tcMar>
          </w:tcPr>
          <w:p>
            <w:r>
              <w:rPr>
                <w:color w:val="222222"/>
                <w:sz w:val="20"/>
                <w:szCs w:val="20"/>
              </w:rPr>
              <w:t xml:space="preserve">High — coefficients are directly readable</w:t>
            </w:r>
          </w:p>
        </w:tc>
        <w:tc>
          <w:tcPr>
            <w:tcW w:type="dxa" w:w="1400"/>
            <w:shd w:fill="FFFFFF" w:val="clear"/>
            <w:tcMar>
              <w:top w:type="dxa" w:w="90"/>
              <w:left w:type="dxa" w:w="120"/>
              <w:bottom w:type="dxa" w:w="90"/>
              <w:right w:type="dxa" w:w="120"/>
            </w:tcMar>
          </w:tcPr>
          <w:p>
            <w:r>
              <w:rPr>
                <w:color w:val="222222"/>
                <w:sz w:val="20"/>
                <w:szCs w:val="20"/>
              </w:rPr>
              <w:t xml:space="preserve">Low — few parameters to tune</w:t>
            </w:r>
          </w:p>
        </w:tc>
      </w:tr>
      <w:tr>
        <w:tc>
          <w:tcPr>
            <w:tcW w:type="dxa" w:w="2200"/>
            <w:shd w:fill="EEF2F8" w:val="clear"/>
            <w:tcMar>
              <w:top w:type="dxa" w:w="90"/>
              <w:left w:type="dxa" w:w="120"/>
              <w:bottom w:type="dxa" w:w="90"/>
              <w:right w:type="dxa" w:w="120"/>
            </w:tcMar>
          </w:tcPr>
          <w:p>
            <w:r>
              <w:rPr>
                <w:color w:val="222222"/>
                <w:sz w:val="20"/>
                <w:szCs w:val="20"/>
              </w:rPr>
              <w:t xml:space="preserve">Random Forest</w:t>
            </w:r>
          </w:p>
        </w:tc>
        <w:tc>
          <w:tcPr>
            <w:tcW w:type="dxa" w:w="1800"/>
            <w:shd w:fill="EEF2F8" w:val="clear"/>
            <w:tcMar>
              <w:top w:type="dxa" w:w="90"/>
              <w:left w:type="dxa" w:w="120"/>
              <w:bottom w:type="dxa" w:w="90"/>
              <w:right w:type="dxa" w:w="120"/>
            </w:tcMar>
          </w:tcPr>
          <w:p>
            <w:r>
              <w:rPr>
                <w:color w:val="222222"/>
                <w:sz w:val="20"/>
                <w:szCs w:val="20"/>
              </w:rPr>
              <w:t xml:space="preserve">Slower (many trees)</w:t>
            </w:r>
          </w:p>
        </w:tc>
        <w:tc>
          <w:tcPr>
            <w:tcW w:type="dxa" w:w="1800"/>
            <w:shd w:fill="EEF2F8" w:val="clear"/>
            <w:tcMar>
              <w:top w:type="dxa" w:w="90"/>
              <w:left w:type="dxa" w:w="120"/>
              <w:bottom w:type="dxa" w:w="90"/>
              <w:right w:type="dxa" w:w="120"/>
            </w:tcMar>
          </w:tcPr>
          <w:p>
            <w:r>
              <w:rPr>
                <w:color w:val="222222"/>
                <w:sz w:val="20"/>
                <w:szCs w:val="20"/>
              </w:rPr>
              <w:t xml:space="preserve">Slower</w:t>
            </w:r>
          </w:p>
        </w:tc>
        <w:tc>
          <w:tcPr>
            <w:tcW w:type="dxa" w:w="1800"/>
            <w:shd w:fill="EEF2F8" w:val="clear"/>
            <w:tcMar>
              <w:top w:type="dxa" w:w="90"/>
              <w:left w:type="dxa" w:w="120"/>
              <w:bottom w:type="dxa" w:w="90"/>
              <w:right w:type="dxa" w:w="120"/>
            </w:tcMar>
          </w:tcPr>
          <w:p>
            <w:r>
              <w:rPr>
                <w:color w:val="222222"/>
                <w:sz w:val="20"/>
                <w:szCs w:val="20"/>
              </w:rPr>
              <w:t xml:space="preserve">Medium — feature importance only</w:t>
            </w:r>
          </w:p>
        </w:tc>
        <w:tc>
          <w:tcPr>
            <w:tcW w:type="dxa" w:w="1400"/>
            <w:shd w:fill="EEF2F8" w:val="clear"/>
            <w:tcMar>
              <w:top w:type="dxa" w:w="90"/>
              <w:left w:type="dxa" w:w="120"/>
              <w:bottom w:type="dxa" w:w="90"/>
              <w:right w:type="dxa" w:w="120"/>
            </w:tcMar>
          </w:tcPr>
          <w:p>
            <w:r>
              <w:rPr>
                <w:color w:val="222222"/>
                <w:sz w:val="20"/>
                <w:szCs w:val="20"/>
              </w:rPr>
              <w:t xml:space="preserve">Medium</w:t>
            </w:r>
          </w:p>
        </w:tc>
      </w:tr>
      <w:tr>
        <w:tc>
          <w:tcPr>
            <w:tcW w:type="dxa" w:w="2200"/>
            <w:shd w:fill="FFFFFF" w:val="clear"/>
            <w:tcMar>
              <w:top w:type="dxa" w:w="90"/>
              <w:left w:type="dxa" w:w="120"/>
              <w:bottom w:type="dxa" w:w="90"/>
              <w:right w:type="dxa" w:w="120"/>
            </w:tcMar>
          </w:tcPr>
          <w:p>
            <w:r>
              <w:rPr>
                <w:color w:val="222222"/>
                <w:sz w:val="20"/>
                <w:szCs w:val="20"/>
              </w:rPr>
              <w:t xml:space="preserve">Gradient Boosting</w:t>
            </w:r>
          </w:p>
        </w:tc>
        <w:tc>
          <w:tcPr>
            <w:tcW w:type="dxa" w:w="1800"/>
            <w:shd w:fill="FFFFFF" w:val="clear"/>
            <w:tcMar>
              <w:top w:type="dxa" w:w="90"/>
              <w:left w:type="dxa" w:w="120"/>
              <w:bottom w:type="dxa" w:w="90"/>
              <w:right w:type="dxa" w:w="120"/>
            </w:tcMar>
          </w:tcPr>
          <w:p>
            <w:r>
              <w:rPr>
                <w:color w:val="222222"/>
                <w:sz w:val="20"/>
                <w:szCs w:val="20"/>
              </w:rPr>
              <w:t xml:space="preserve">Moderate</w:t>
            </w:r>
          </w:p>
        </w:tc>
        <w:tc>
          <w:tcPr>
            <w:tcW w:type="dxa" w:w="1800"/>
            <w:shd w:fill="FFFFFF" w:val="clear"/>
            <w:tcMar>
              <w:top w:type="dxa" w:w="90"/>
              <w:left w:type="dxa" w:w="120"/>
              <w:bottom w:type="dxa" w:w="90"/>
              <w:right w:type="dxa" w:w="120"/>
            </w:tcMar>
          </w:tcPr>
          <w:p>
            <w:r>
              <w:rPr>
                <w:color w:val="222222"/>
                <w:sz w:val="20"/>
                <w:szCs w:val="20"/>
              </w:rPr>
              <w:t xml:space="preserve">Fast</w:t>
            </w:r>
          </w:p>
        </w:tc>
        <w:tc>
          <w:tcPr>
            <w:tcW w:type="dxa" w:w="1800"/>
            <w:shd w:fill="FFFFFF" w:val="clear"/>
            <w:tcMar>
              <w:top w:type="dxa" w:w="90"/>
              <w:left w:type="dxa" w:w="120"/>
              <w:bottom w:type="dxa" w:w="90"/>
              <w:right w:type="dxa" w:w="120"/>
            </w:tcMar>
          </w:tcPr>
          <w:p>
            <w:r>
              <w:rPr>
                <w:color w:val="222222"/>
                <w:sz w:val="20"/>
                <w:szCs w:val="20"/>
              </w:rPr>
              <w:t xml:space="preserve">Medium — feature importance only</w:t>
            </w:r>
          </w:p>
        </w:tc>
        <w:tc>
          <w:tcPr>
            <w:tcW w:type="dxa" w:w="1400"/>
            <w:shd w:fill="FFFFFF" w:val="clear"/>
            <w:tcMar>
              <w:top w:type="dxa" w:w="90"/>
              <w:left w:type="dxa" w:w="120"/>
              <w:bottom w:type="dxa" w:w="90"/>
              <w:right w:type="dxa" w:w="120"/>
            </w:tcMar>
          </w:tcPr>
          <w:p>
            <w:r>
              <w:rPr>
                <w:color w:val="222222"/>
                <w:sz w:val="20"/>
                <w:szCs w:val="20"/>
              </w:rPr>
              <w:t xml:space="preserve">High — sensitive to learning rate/depth</w:t>
            </w:r>
          </w:p>
        </w:tc>
      </w:tr>
      <w:tr>
        <w:tc>
          <w:tcPr>
            <w:tcW w:type="dxa" w:w="2200"/>
            <w:shd w:fill="EEF2F8" w:val="clear"/>
            <w:tcMar>
              <w:top w:type="dxa" w:w="90"/>
              <w:left w:type="dxa" w:w="120"/>
              <w:bottom w:type="dxa" w:w="90"/>
              <w:right w:type="dxa" w:w="120"/>
            </w:tcMar>
          </w:tcPr>
          <w:p>
            <w:r>
              <w:rPr>
                <w:color w:val="222222"/>
                <w:sz w:val="20"/>
                <w:szCs w:val="20"/>
              </w:rPr>
              <w:t xml:space="preserve">XGBoost</w:t>
            </w:r>
          </w:p>
        </w:tc>
        <w:tc>
          <w:tcPr>
            <w:tcW w:type="dxa" w:w="1800"/>
            <w:shd w:fill="EEF2F8" w:val="clear"/>
            <w:tcMar>
              <w:top w:type="dxa" w:w="90"/>
              <w:left w:type="dxa" w:w="120"/>
              <w:bottom w:type="dxa" w:w="90"/>
              <w:right w:type="dxa" w:w="120"/>
            </w:tcMar>
          </w:tcPr>
          <w:p>
            <w:r>
              <w:rPr>
                <w:color w:val="222222"/>
                <w:sz w:val="20"/>
                <w:szCs w:val="20"/>
              </w:rPr>
              <w:t xml:space="preserve">Moderate–fast</w:t>
            </w:r>
          </w:p>
        </w:tc>
        <w:tc>
          <w:tcPr>
            <w:tcW w:type="dxa" w:w="1800"/>
            <w:shd w:fill="EEF2F8" w:val="clear"/>
            <w:tcMar>
              <w:top w:type="dxa" w:w="90"/>
              <w:left w:type="dxa" w:w="120"/>
              <w:bottom w:type="dxa" w:w="90"/>
              <w:right w:type="dxa" w:w="120"/>
            </w:tcMar>
          </w:tcPr>
          <w:p>
            <w:r>
              <w:rPr>
                <w:color w:val="222222"/>
                <w:sz w:val="20"/>
                <w:szCs w:val="20"/>
              </w:rPr>
              <w:t xml:space="preserve">Fast</w:t>
            </w:r>
          </w:p>
        </w:tc>
        <w:tc>
          <w:tcPr>
            <w:tcW w:type="dxa" w:w="1800"/>
            <w:shd w:fill="EEF2F8" w:val="clear"/>
            <w:tcMar>
              <w:top w:type="dxa" w:w="90"/>
              <w:left w:type="dxa" w:w="120"/>
              <w:bottom w:type="dxa" w:w="90"/>
              <w:right w:type="dxa" w:w="120"/>
            </w:tcMar>
          </w:tcPr>
          <w:p>
            <w:r>
              <w:rPr>
                <w:color w:val="222222"/>
                <w:sz w:val="20"/>
                <w:szCs w:val="20"/>
              </w:rPr>
              <w:t xml:space="preserve">Medium — feature importance + regularization info</w:t>
            </w:r>
          </w:p>
        </w:tc>
        <w:tc>
          <w:tcPr>
            <w:tcW w:type="dxa" w:w="1400"/>
            <w:shd w:fill="EEF2F8" w:val="clear"/>
            <w:tcMar>
              <w:top w:type="dxa" w:w="90"/>
              <w:left w:type="dxa" w:w="120"/>
              <w:bottom w:type="dxa" w:w="90"/>
              <w:right w:type="dxa" w:w="120"/>
            </w:tcMar>
          </w:tcPr>
          <w:p>
            <w:r>
              <w:rPr>
                <w:color w:val="222222"/>
                <w:sz w:val="20"/>
                <w:szCs w:val="20"/>
              </w:rPr>
              <w:t xml:space="preserve">High, but more tuning tools available</w:t>
            </w:r>
          </w:p>
        </w:tc>
      </w:tr>
    </w:tbl>
    <w:p>
      <w:pPr>
        <w:spacing w:after="160" w:line="300"/>
      </w:pPr>
      <w:r>
        <w:rPr>
          <w:color w:val="222222"/>
          <w:sz w:val="22"/>
          <w:szCs w:val="22"/>
        </w:rPr>
        <w:t xml:space="preserve"/>
      </w:r>
    </w:p>
    <w:p>
      <w:pPr>
        <w:pStyle w:val="ListParagraph"/>
        <w:numPr>
          <w:ilvl w:val="0"/>
          <w:numId w:val="2"/>
        </w:numPr>
        <w:spacing w:after="90" w:line="280"/>
      </w:pPr>
      <w:r>
        <w:rPr>
          <w:color w:val="222222"/>
          <w:sz w:val="22"/>
          <w:szCs w:val="22"/>
        </w:rPr>
        <w:t xml:space="preserve">Linear Regression trains and predicts fastest and is the easiest to explain to non-technical stakeholders, but its accuracy ceiling is clearly lower — not recommended as the primary production model given the ~6-point R² gap versus the ensemble methods.</w:t>
      </w:r>
    </w:p>
    <w:p>
      <w:pPr>
        <w:pStyle w:val="ListParagraph"/>
        <w:numPr>
          <w:ilvl w:val="0"/>
          <w:numId w:val="2"/>
        </w:numPr>
        <w:spacing w:after="90" w:line="280"/>
      </w:pPr>
      <w:r>
        <w:rPr>
          <w:color w:val="222222"/>
          <w:sz w:val="22"/>
          <w:szCs w:val="22"/>
        </w:rPr>
        <w:t xml:space="preserve">Random Forest is stable and simple to tune (fewer sensitive hyperparameters than boosting), making it a reasonable fallback if training-time resources are constrained.</w:t>
      </w:r>
    </w:p>
    <w:p>
      <w:pPr>
        <w:pStyle w:val="ListParagraph"/>
        <w:numPr>
          <w:ilvl w:val="0"/>
          <w:numId w:val="2"/>
        </w:numPr>
        <w:spacing w:after="90" w:line="280"/>
      </w:pPr>
      <w:r>
        <w:rPr>
          <w:color w:val="222222"/>
          <w:sz w:val="22"/>
          <w:szCs w:val="22"/>
        </w:rPr>
        <w:t xml:space="preserve">Gradient Boosting delivered the best raw accuracy both before and after tuning, at a moderate computational cost given the modest dataset size (1,338 rows).</w:t>
      </w:r>
    </w:p>
    <w:p>
      <w:pPr>
        <w:pStyle w:val="ListParagraph"/>
        <w:numPr>
          <w:ilvl w:val="0"/>
          <w:numId w:val="2"/>
        </w:numPr>
        <w:spacing w:after="90" w:line="280"/>
      </w:pPr>
      <w:r>
        <w:rPr>
          <w:color w:val="222222"/>
          <w:sz w:val="22"/>
          <w:szCs w:val="22"/>
        </w:rPr>
        <w:t xml:space="preserve">XGBoost performed almost identically to Gradient Boosting after tuning, with the added benefit of built-in regularization, generally faster training on larger datasets, and wider industry tooling for deployment (e.g., native support in most model-serving frameworks).</w:t>
      </w:r>
    </w:p>
    <w:p>
      <w:pPr>
        <w:pStyle w:val="Heading1"/>
        <w:pBdr>
          <w:bottom w:val="single" w:color="1F3864" w:sz="6" w:space="4"/>
        </w:pBdr>
        <w:spacing w:after="160" w:before="360"/>
      </w:pPr>
      <w:r>
        <w:rPr>
          <w:b/>
          <w:bCs/>
          <w:color w:val="1F3864"/>
          <w:sz w:val="30"/>
          <w:szCs w:val="30"/>
        </w:rPr>
        <w:t xml:space="preserve">6. Recommendation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D32" w:sz="18"/>
              <w:left w:val="single" w:color="CCCCCC" w:sz="4"/>
              <w:bottom w:val="single" w:color="CCCCCC" w:sz="4"/>
              <w:right w:val="single" w:color="CCCCCC" w:sz="4"/>
            </w:tcBorders>
            <w:shd w:fill="EEF2F8" w:val="clear"/>
            <w:tcMar>
              <w:top w:type="dxa" w:w="180"/>
              <w:left w:type="dxa" w:w="220"/>
              <w:bottom w:type="dxa" w:w="180"/>
              <w:right w:type="dxa" w:w="220"/>
            </w:tcMar>
          </w:tcPr>
          <w:p>
            <w:pPr>
              <w:spacing w:after="80"/>
            </w:pPr>
            <w:r>
              <w:rPr>
                <w:b/>
                <w:bCs/>
                <w:color w:val="2E7D32"/>
                <w:sz w:val="24"/>
                <w:szCs w:val="24"/>
              </w:rPr>
              <w:t xml:space="preserve">Recommended for production: Gradient Boosting Regressor</w:t>
            </w:r>
          </w:p>
          <w:p>
            <w:pPr>
              <w:spacing w:line="300"/>
            </w:pPr>
            <w:r>
              <w:rPr>
                <w:color w:val="222222"/>
                <w:sz w:val="21"/>
                <w:szCs w:val="21"/>
              </w:rPr>
              <w:t xml:space="preserve">Gradient Boosting produced the best accuracy on every metric before tuning (R² = 0.8344, RMSE = 0.3858) and remained the top performer after tuning (R² = 0.8313). On a dataset of this size, its training cost is manageable, and its feature-importance output gives the business an interpretable view of what drives cost (smoking status, age, BMI) — which supports both prediction and pricing-strategy conversations. It is the model already saved via pickle and validated with a working prediction function in this project, making it the most implementation-ready choice today.</w:t>
            </w:r>
          </w:p>
        </w:tc>
      </w:tr>
    </w:tbl>
    <w:p>
      <w:pPr>
        <w:spacing w:after="160" w:line="300"/>
      </w:pPr>
      <w:r>
        <w:rPr>
          <w:color w:val="222222"/>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8900" w:sz="18"/>
              <w:left w:val="single" w:color="CCCCCC" w:sz="4"/>
              <w:bottom w:val="single" w:color="CCCCCC" w:sz="4"/>
              <w:right w:val="single" w:color="CCCCCC" w:sz="4"/>
            </w:tcBorders>
            <w:shd w:fill="EEF2F8" w:val="clear"/>
            <w:tcMar>
              <w:top w:type="dxa" w:w="180"/>
              <w:left w:type="dxa" w:w="220"/>
              <w:bottom w:type="dxa" w:w="180"/>
              <w:right w:type="dxa" w:w="220"/>
            </w:tcMar>
          </w:tcPr>
          <w:p>
            <w:pPr>
              <w:spacing w:after="80"/>
            </w:pPr>
            <w:r>
              <w:rPr>
                <w:b/>
                <w:bCs/>
                <w:color w:val="B08900"/>
                <w:sz w:val="24"/>
                <w:szCs w:val="24"/>
              </w:rPr>
              <w:t xml:space="preserve">Strong alternative: XGBoost</w:t>
            </w:r>
          </w:p>
          <w:p>
            <w:pPr>
              <w:spacing w:line="300"/>
            </w:pPr>
            <w:r>
              <w:rPr>
                <w:color w:val="222222"/>
                <w:sz w:val="21"/>
                <w:szCs w:val="21"/>
              </w:rPr>
              <w:t xml:space="preserve">If the production environment scales to a larger dataset, needs faster retraining cycles, or requires built-in regularization to guard against overfitting as more features are added later, XGBoost is a very close second (R² = 0.8318 after tuning — effectively tied with Gradient Boosting) and is often preferred in production ML systems for its performance and tooling ecosystem.</w:t>
            </w:r>
          </w:p>
        </w:tc>
      </w:tr>
    </w:tbl>
    <w:p>
      <w:pPr>
        <w:spacing w:after="160" w:line="300"/>
      </w:pPr>
      <w:r>
        <w:rPr>
          <w:color w:val="222222"/>
          <w:sz w:val="22"/>
          <w:szCs w:val="22"/>
        </w:rPr>
        <w:t xml:space="preserve"/>
      </w:r>
    </w:p>
    <w:p>
      <w:pPr>
        <w:spacing w:after="160" w:line="300"/>
      </w:pPr>
      <w:r>
        <w:rPr>
          <w:color w:val="222222"/>
          <w:sz w:val="22"/>
          <w:szCs w:val="22"/>
        </w:rPr>
        <w:t xml:space="preserve">Final guidance: deploy Gradient Boosting now, since it is already trained, tuned, and validated in this project. Treat XGBoost as the natural upgrade path if the dataset grows, more features are added, or infrastructure standardizes on XGBoost for other models in the organization — the accuracy difference between the two is small enough that the switch would be a low-risk, low-effort change.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Model Performance &amp; Production Recommendation — Insurance Cost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c2992a05a31b0fde7561f8927a87c76bafa408.png"/><Relationship Id="rId10" Type="http://schemas.openxmlformats.org/officeDocument/2006/relationships/image" Target="media/3a140b6778aac3f35baf9d62fc603b929da1c36f.png"/><Relationship Id="rId11" Type="http://schemas.openxmlformats.org/officeDocument/2006/relationships/image" Target="media/a4ade08c1cd78be627475566c9cb7ae3e35e47d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2026-08-12T18:29:33.868Z</dcterms:created>
  <dcterms:modified xsi:type="dcterms:W3CDTF">2026-08-12T18:29:33.881Z</dcterms:modified>
</cp:coreProperties>
</file>

<file path=docProps/custom.xml><?xml version="1.0" encoding="utf-8"?>
<Properties xmlns="http://schemas.openxmlformats.org/officeDocument/2006/custom-properties" xmlns:vt="http://schemas.openxmlformats.org/officeDocument/2006/docPropsVTypes"/>
</file>