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3 – Project Design Phase</w:t>
      </w:r>
    </w:p>
    <w:p>
      <w:pPr>
        <w:jc w:val="center"/>
      </w:pPr>
      <w:r>
        <w:rPr>
          <w:i/>
          <w:sz w:val="24"/>
        </w:rPr>
        <w:t>Incident Lifecycle Automation in ServiceNow</w:t>
      </w:r>
    </w:p>
    <w:p/>
    <w:p>
      <w:pPr>
        <w:pStyle w:val="Heading1"/>
      </w:pPr>
      <w:r>
        <w:t>1. Purpose</w:t>
      </w:r>
    </w:p>
    <w:p>
      <w:r>
        <w:t>The Project Design Phase converts the requirements into a technical design for implementing automated incident management in ServiceNow.</w:t>
      </w:r>
    </w:p>
    <w:p>
      <w:pPr>
        <w:pStyle w:val="Heading1"/>
      </w:pPr>
      <w:r>
        <w:t>2. System Architecture</w:t>
      </w:r>
    </w:p>
    <w:p>
      <w:r>
        <w:t>The solution follows a ServiceNow-centered architecture in which users submit incidents through the platform, automation evaluates incident information, support teams work on assigned incidents, and lifecycle information is stored for reporting and knowledge reuse.</w:t>
      </w:r>
    </w:p>
    <w:p>
      <w:r>
        <w:t>User → Incident Form → Classification/Priority → Assignment → SLA → Support Team → Resolution → Closure</w:t>
      </w:r>
    </w:p>
    <w:p>
      <w:pPr>
        <w:pStyle w:val="Heading1"/>
      </w:pPr>
      <w:r>
        <w:t>3. Incident Lifecycle Design</w:t>
      </w:r>
    </w:p>
    <w:tbl>
      <w:tblPr>
        <w:tblStyle w:val="TableGrid"/>
        <w:tblW w:type="auto" w:w="0"/>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Purpose</w:t>
            </w:r>
          </w:p>
        </w:tc>
      </w:tr>
      <w:tr>
        <w:tc>
          <w:tcPr>
            <w:tcW w:type="dxa" w:w="4968"/>
          </w:tcPr>
          <w:p>
            <w:r>
              <w:t>New</w:t>
            </w:r>
          </w:p>
        </w:tc>
        <w:tc>
          <w:tcPr>
            <w:tcW w:type="dxa" w:w="4968"/>
          </w:tcPr>
          <w:p>
            <w:r>
              <w:t>Incident is created and awaits processing.</w:t>
            </w:r>
          </w:p>
        </w:tc>
      </w:tr>
      <w:tr>
        <w:tc>
          <w:tcPr>
            <w:tcW w:type="dxa" w:w="4968"/>
          </w:tcPr>
          <w:p>
            <w:r>
              <w:t>Assigned</w:t>
            </w:r>
          </w:p>
        </w:tc>
        <w:tc>
          <w:tcPr>
            <w:tcW w:type="dxa" w:w="4968"/>
          </w:tcPr>
          <w:p>
            <w:r>
              <w:t>Incident is routed to an appropriate support group or technician.</w:t>
            </w:r>
          </w:p>
        </w:tc>
      </w:tr>
      <w:tr>
        <w:tc>
          <w:tcPr>
            <w:tcW w:type="dxa" w:w="4968"/>
          </w:tcPr>
          <w:p>
            <w:r>
              <w:t>In Progress</w:t>
            </w:r>
          </w:p>
        </w:tc>
        <w:tc>
          <w:tcPr>
            <w:tcW w:type="dxa" w:w="4968"/>
          </w:tcPr>
          <w:p>
            <w:r>
              <w:t>Support team investigates and works on the issue.</w:t>
            </w:r>
          </w:p>
        </w:tc>
      </w:tr>
      <w:tr>
        <w:tc>
          <w:tcPr>
            <w:tcW w:type="dxa" w:w="4968"/>
          </w:tcPr>
          <w:p>
            <w:r>
              <w:t>On Hold</w:t>
            </w:r>
          </w:p>
        </w:tc>
        <w:tc>
          <w:tcPr>
            <w:tcW w:type="dxa" w:w="4968"/>
          </w:tcPr>
          <w:p>
            <w:r>
              <w:t>Progress is temporarily paused due to a defined dependency or reason.</w:t>
            </w:r>
          </w:p>
        </w:tc>
      </w:tr>
      <w:tr>
        <w:tc>
          <w:tcPr>
            <w:tcW w:type="dxa" w:w="4968"/>
          </w:tcPr>
          <w:p>
            <w:r>
              <w:t>Resolved</w:t>
            </w:r>
          </w:p>
        </w:tc>
        <w:tc>
          <w:tcPr>
            <w:tcW w:type="dxa" w:w="4968"/>
          </w:tcPr>
          <w:p>
            <w:r>
              <w:t>A solution has been applied and resolution information is recorded.</w:t>
            </w:r>
          </w:p>
        </w:tc>
      </w:tr>
      <w:tr>
        <w:tc>
          <w:tcPr>
            <w:tcW w:type="dxa" w:w="4968"/>
          </w:tcPr>
          <w:p>
            <w:r>
              <w:t>Closed</w:t>
            </w:r>
          </w:p>
        </w:tc>
        <w:tc>
          <w:tcPr>
            <w:tcW w:type="dxa" w:w="4968"/>
          </w:tcPr>
          <w:p>
            <w:r>
              <w:t>Incident is completed according to the closure process.</w:t>
            </w:r>
          </w:p>
        </w:tc>
      </w:tr>
    </w:tbl>
    <w:p/>
    <w:p>
      <w:pPr>
        <w:pStyle w:val="Heading1"/>
      </w:pPr>
      <w:r>
        <w:t>4. Automation Design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Automation</w:t>
            </w:r>
          </w:p>
        </w:tc>
        <w:tc>
          <w:tcPr>
            <w:tcW w:type="dxa" w:w="3312"/>
          </w:tcPr>
          <w:p>
            <w:r>
              <w:rPr>
                <w:b/>
              </w:rPr>
              <w:t>ServiceNow Component</w:t>
            </w:r>
          </w:p>
        </w:tc>
        <w:tc>
          <w:tcPr>
            <w:tcW w:type="dxa" w:w="3312"/>
          </w:tcPr>
          <w:p>
            <w:r>
              <w:rPr>
                <w:b/>
              </w:rPr>
              <w:t>Purpose</w:t>
            </w:r>
          </w:p>
        </w:tc>
      </w:tr>
      <w:tr>
        <w:tc>
          <w:tcPr>
            <w:tcW w:type="dxa" w:w="3312"/>
          </w:tcPr>
          <w:p>
            <w:r>
              <w:t>Field validation</w:t>
            </w:r>
          </w:p>
        </w:tc>
        <w:tc>
          <w:tcPr>
            <w:tcW w:type="dxa" w:w="3312"/>
          </w:tcPr>
          <w:p>
            <w:r>
              <w:t>Client Scripts / UI Policies</w:t>
            </w:r>
          </w:p>
        </w:tc>
        <w:tc>
          <w:tcPr>
            <w:tcW w:type="dxa" w:w="3312"/>
          </w:tcPr>
          <w:p>
            <w:r>
              <w:t>Control form behavior and required information.</w:t>
            </w:r>
          </w:p>
        </w:tc>
      </w:tr>
      <w:tr>
        <w:tc>
          <w:tcPr>
            <w:tcW w:type="dxa" w:w="3312"/>
          </w:tcPr>
          <w:p>
            <w:r>
              <w:t>Server-side logic</w:t>
            </w:r>
          </w:p>
        </w:tc>
        <w:tc>
          <w:tcPr>
            <w:tcW w:type="dxa" w:w="3312"/>
          </w:tcPr>
          <w:p>
            <w:r>
              <w:t>Business Rules</w:t>
            </w:r>
          </w:p>
        </w:tc>
        <w:tc>
          <w:tcPr>
            <w:tcW w:type="dxa" w:w="3312"/>
          </w:tcPr>
          <w:p>
            <w:r>
              <w:t>Perform automated processing when records change.</w:t>
            </w:r>
          </w:p>
        </w:tc>
      </w:tr>
      <w:tr>
        <w:tc>
          <w:tcPr>
            <w:tcW w:type="dxa" w:w="3312"/>
          </w:tcPr>
          <w:p>
            <w:r>
              <w:t>Routing</w:t>
            </w:r>
          </w:p>
        </w:tc>
        <w:tc>
          <w:tcPr>
            <w:tcW w:type="dxa" w:w="3312"/>
          </w:tcPr>
          <w:p>
            <w:r>
              <w:t>Assignment Rules / Flow Designer</w:t>
            </w:r>
          </w:p>
        </w:tc>
        <w:tc>
          <w:tcPr>
            <w:tcW w:type="dxa" w:w="3312"/>
          </w:tcPr>
          <w:p>
            <w:r>
              <w:t>Assign incidents to appropriate support groups.</w:t>
            </w:r>
          </w:p>
        </w:tc>
      </w:tr>
      <w:tr>
        <w:tc>
          <w:tcPr>
            <w:tcW w:type="dxa" w:w="3312"/>
          </w:tcPr>
          <w:p>
            <w:r>
              <w:t>Notifications</w:t>
            </w:r>
          </w:p>
        </w:tc>
        <w:tc>
          <w:tcPr>
            <w:tcW w:type="dxa" w:w="3312"/>
          </w:tcPr>
          <w:p>
            <w:r>
              <w:t>Notifications / Flow Designer</w:t>
            </w:r>
          </w:p>
        </w:tc>
        <w:tc>
          <w:tcPr>
            <w:tcW w:type="dxa" w:w="3312"/>
          </w:tcPr>
          <w:p>
            <w:r>
              <w:t>Inform users and support teams about important events.</w:t>
            </w:r>
          </w:p>
        </w:tc>
      </w:tr>
      <w:tr>
        <w:tc>
          <w:tcPr>
            <w:tcW w:type="dxa" w:w="3312"/>
          </w:tcPr>
          <w:p>
            <w:r>
              <w:t>SLA tracking</w:t>
            </w:r>
          </w:p>
        </w:tc>
        <w:tc>
          <w:tcPr>
            <w:tcW w:type="dxa" w:w="3312"/>
          </w:tcPr>
          <w:p>
            <w:r>
              <w:t>SLA Definitions</w:t>
            </w:r>
          </w:p>
        </w:tc>
        <w:tc>
          <w:tcPr>
            <w:tcW w:type="dxa" w:w="3312"/>
          </w:tcPr>
          <w:p>
            <w:r>
              <w:t>Measure response and resolution commitments.</w:t>
            </w:r>
          </w:p>
        </w:tc>
      </w:tr>
      <w:tr>
        <w:tc>
          <w:tcPr>
            <w:tcW w:type="dxa" w:w="3312"/>
          </w:tcPr>
          <w:p>
            <w:r>
              <w:t>Knowledge creation</w:t>
            </w:r>
          </w:p>
        </w:tc>
        <w:tc>
          <w:tcPr>
            <w:tcW w:type="dxa" w:w="3312"/>
          </w:tcPr>
          <w:p>
            <w:r>
              <w:t>Knowledge Management</w:t>
            </w:r>
          </w:p>
        </w:tc>
        <w:tc>
          <w:tcPr>
            <w:tcW w:type="dxa" w:w="3312"/>
          </w:tcPr>
          <w:p>
            <w:r>
              <w:t>Capture reusable solutions from incidents.</w:t>
            </w:r>
          </w:p>
        </w:tc>
      </w:tr>
    </w:tbl>
    <w:p/>
    <w:p>
      <w:pPr>
        <w:pStyle w:val="Heading1"/>
      </w:pPr>
      <w:r>
        <w:t>5. Data Design</w:t>
      </w:r>
    </w:p>
    <w:p>
      <w:r>
        <w:t>The primary record is the ServiceNow Incident. It contains user, issue, classification, priority, assignment, state, SLA, communication, and resolution information. Related records can include affected configuration items, SLAs, knowledge articles, child incidents, and other service-management records.</w:t>
      </w:r>
    </w:p>
    <w:p>
      <w:pPr>
        <w:pStyle w:val="Heading1"/>
      </w:pPr>
      <w:r>
        <w:t>6. Workflow Design</w:t>
      </w:r>
    </w:p>
    <w:p>
      <w:r>
        <w:t>When an incident is created, the system evaluates the relevant information, applies prioritization and routing rules, starts applicable SLA tracking, and sends configured notifications. The support team then investigates, updates the incident, records the resolution, and completes the closure process.</w:t>
      </w:r>
    </w:p>
    <w:p>
      <w:pPr>
        <w:pStyle w:val="Heading1"/>
      </w:pPr>
      <w:r>
        <w:t>7. Security and Access Design</w:t>
      </w:r>
    </w:p>
    <w:p>
      <w:r>
        <w:t>Access should be controlled using ServiceNow roles and permissions so that users, support agents, and administrators can perform only the actions appropriate to their responsibilities.</w:t>
      </w:r>
    </w:p>
    <w:p>
      <w:pPr>
        <w:pStyle w:val="Heading1"/>
      </w:pPr>
      <w:r>
        <w:t>8. Design Outcome</w:t>
      </w:r>
    </w:p>
    <w:p>
      <w:r>
        <w:t>The design provides a standardized architecture in which repetitive incident-management activities can be automated while maintaining traceability, SLA visibility, communication, and reporting.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