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C690" w14:textId="77777777" w:rsidR="004C5797" w:rsidRDefault="00000000">
      <w:pPr>
        <w:spacing w:after="200"/>
        <w:jc w:val="center"/>
      </w:pPr>
      <w:r>
        <w:rPr>
          <w:b/>
          <w:bCs/>
          <w:sz w:val="30"/>
          <w:szCs w:val="30"/>
        </w:rPr>
        <w:t>Smart City Bike-Sharing - Four Types of Analysis</w:t>
      </w:r>
    </w:p>
    <w:p w14:paraId="172648EF" w14:textId="77777777" w:rsidR="004C5797" w:rsidRDefault="00000000">
      <w:pPr>
        <w:pStyle w:val="Heading1"/>
        <w:spacing w:before="360" w:after="60"/>
      </w:pPr>
      <w:r>
        <w:rPr>
          <w:b/>
          <w:bCs/>
          <w:color w:val="000000"/>
          <w:sz w:val="27"/>
          <w:szCs w:val="27"/>
          <w:u w:val="single"/>
        </w:rPr>
        <w:t>1. Descriptive Analysis</w:t>
      </w:r>
    </w:p>
    <w:p w14:paraId="32C8C70D" w14:textId="77777777" w:rsidR="004C5797" w:rsidRDefault="00000000">
      <w:pPr>
        <w:spacing w:after="180"/>
      </w:pPr>
      <w:r>
        <w:rPr>
          <w:b/>
          <w:bCs/>
          <w:i/>
          <w:iCs/>
          <w:sz w:val="22"/>
          <w:szCs w:val="22"/>
        </w:rPr>
        <w:t>What is happening?</w:t>
      </w:r>
      <w:r>
        <w:rPr>
          <w:i/>
          <w:iCs/>
          <w:sz w:val="22"/>
          <w:szCs w:val="22"/>
        </w:rPr>
        <w:t xml:space="preserve">   |   Focus: Summarizes historical station and city performance</w:t>
      </w:r>
    </w:p>
    <w:p w14:paraId="5B890979" w14:textId="77777777" w:rsidR="004C5797" w:rsidRDefault="00000000">
      <w:pPr>
        <w:spacing w:before="160" w:after="80"/>
      </w:pPr>
      <w:r>
        <w:rPr>
          <w:b/>
          <w:bCs/>
          <w:sz w:val="22"/>
          <w:szCs w:val="22"/>
        </w:rPr>
        <w:t>Business Problem Statement</w:t>
      </w:r>
    </w:p>
    <w:p w14:paraId="333D594C" w14:textId="77777777" w:rsidR="004C5797" w:rsidRDefault="00000000">
      <w:pPr>
        <w:spacing w:after="120" w:line="300" w:lineRule="auto"/>
        <w:jc w:val="both"/>
      </w:pPr>
      <w:r>
        <w:rPr>
          <w:sz w:val="22"/>
          <w:szCs w:val="22"/>
        </w:rPr>
        <w:t xml:space="preserve">Operations teams lack a consolidated view of how the bike-sharing network is </w:t>
      </w:r>
      <w:proofErr w:type="gramStart"/>
      <w:r>
        <w:rPr>
          <w:sz w:val="22"/>
          <w:szCs w:val="22"/>
        </w:rPr>
        <w:t>actually performing</w:t>
      </w:r>
      <w:proofErr w:type="gramEnd"/>
      <w:r>
        <w:rPr>
          <w:sz w:val="22"/>
          <w:szCs w:val="22"/>
        </w:rPr>
        <w:t xml:space="preserve"> across cities and stations. Station-level snapshot data (bike stands, available bikes, available docks, status) is captured continuously, but it sits in raw transactional form, which makes it difficult to see overall network health, top-performing cities, or underperforming stations without manual effort.</w:t>
      </w:r>
    </w:p>
    <w:p w14:paraId="5397997E" w14:textId="77777777" w:rsidR="004C5797" w:rsidRDefault="00000000">
      <w:pPr>
        <w:spacing w:before="160" w:after="80"/>
      </w:pPr>
      <w:r>
        <w:rPr>
          <w:b/>
          <w:bCs/>
          <w:sz w:val="22"/>
          <w:szCs w:val="22"/>
        </w:rPr>
        <w:t>Analytical Objective</w:t>
      </w:r>
    </w:p>
    <w:p w14:paraId="79E84B4A" w14:textId="77777777" w:rsidR="004C5797" w:rsidRDefault="00000000">
      <w:pPr>
        <w:pStyle w:val="ListParagraph"/>
        <w:numPr>
          <w:ilvl w:val="0"/>
          <w:numId w:val="2"/>
        </w:numPr>
        <w:spacing w:after="80" w:line="280" w:lineRule="auto"/>
      </w:pPr>
      <w:r>
        <w:rPr>
          <w:sz w:val="22"/>
          <w:szCs w:val="22"/>
        </w:rPr>
        <w:t>Identify total stations, average occupancy rate, and closed-station rate across the entire network.</w:t>
      </w:r>
    </w:p>
    <w:p w14:paraId="5F9D51E3" w14:textId="77777777" w:rsidR="004C5797" w:rsidRDefault="00000000">
      <w:pPr>
        <w:pStyle w:val="ListParagraph"/>
        <w:numPr>
          <w:ilvl w:val="0"/>
          <w:numId w:val="2"/>
        </w:numPr>
        <w:spacing w:after="80" w:line="280" w:lineRule="auto"/>
      </w:pPr>
      <w:r>
        <w:rPr>
          <w:sz w:val="22"/>
          <w:szCs w:val="22"/>
        </w:rPr>
        <w:t>Track overall network capacity, snapshot volume, and occupancy trend across the full observation period (2022 to 2025).</w:t>
      </w:r>
    </w:p>
    <w:p w14:paraId="315B62FC" w14:textId="77777777" w:rsidR="004C5797" w:rsidRDefault="00000000">
      <w:pPr>
        <w:pStyle w:val="ListParagraph"/>
        <w:numPr>
          <w:ilvl w:val="0"/>
          <w:numId w:val="2"/>
        </w:numPr>
        <w:spacing w:after="80" w:line="280" w:lineRule="auto"/>
      </w:pPr>
      <w:r>
        <w:rPr>
          <w:sz w:val="22"/>
          <w:szCs w:val="22"/>
        </w:rPr>
        <w:t>Rank cities by average occupancy rate to pinpoint the highest and lowest performing markets.</w:t>
      </w:r>
    </w:p>
    <w:p w14:paraId="19F11825" w14:textId="77777777" w:rsidR="004C5797" w:rsidRDefault="00000000">
      <w:pPr>
        <w:spacing w:before="160" w:after="80"/>
      </w:pPr>
      <w:r>
        <w:rPr>
          <w:b/>
          <w:bCs/>
          <w:sz w:val="22"/>
          <w:szCs w:val="22"/>
        </w:rPr>
        <w:t>Key Figures (Network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3117"/>
        <w:gridCol w:w="3116"/>
      </w:tblGrid>
      <w:tr w:rsidR="004C5797" w14:paraId="756C8AB9" w14:textId="77777777">
        <w:tblPrEx>
          <w:tblCellMar>
            <w:top w:w="0" w:type="dxa"/>
            <w:bottom w:w="0" w:type="dxa"/>
          </w:tblCellMar>
        </w:tblPrEx>
        <w:tc>
          <w:tcPr>
            <w:tcW w:w="31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7F891" w14:textId="77777777" w:rsidR="004C5797" w:rsidRDefault="00000000">
            <w:pPr>
              <w:jc w:val="center"/>
            </w:pPr>
            <w:r>
              <w:rPr>
                <w:b/>
                <w:bCs/>
                <w:sz w:val="21"/>
                <w:szCs w:val="21"/>
              </w:rPr>
              <w:t>1K Total Stations</w:t>
            </w:r>
          </w:p>
        </w:tc>
        <w:tc>
          <w:tcPr>
            <w:tcW w:w="31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47A432" w14:textId="77777777" w:rsidR="004C5797" w:rsidRDefault="00000000">
            <w:pPr>
              <w:jc w:val="center"/>
            </w:pPr>
            <w:r>
              <w:rPr>
                <w:b/>
                <w:bCs/>
                <w:sz w:val="21"/>
                <w:szCs w:val="21"/>
              </w:rPr>
              <w:t xml:space="preserve">32.8% </w:t>
            </w:r>
            <w:proofErr w:type="spellStart"/>
            <w:r>
              <w:rPr>
                <w:b/>
                <w:bCs/>
                <w:sz w:val="21"/>
                <w:szCs w:val="21"/>
              </w:rPr>
              <w:t>Avg</w:t>
            </w:r>
            <w:proofErr w:type="spellEnd"/>
            <w:r>
              <w:rPr>
                <w:b/>
                <w:bCs/>
                <w:sz w:val="21"/>
                <w:szCs w:val="21"/>
              </w:rPr>
              <w:t xml:space="preserve"> Occupancy Rate</w:t>
            </w:r>
          </w:p>
        </w:tc>
        <w:tc>
          <w:tcPr>
            <w:tcW w:w="31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303FB" w14:textId="77777777" w:rsidR="004C5797" w:rsidRDefault="00000000">
            <w:pPr>
              <w:jc w:val="center"/>
            </w:pPr>
            <w:r>
              <w:rPr>
                <w:b/>
                <w:bCs/>
                <w:sz w:val="21"/>
                <w:szCs w:val="21"/>
              </w:rPr>
              <w:t>7.3% Closed Station Rate</w:t>
            </w:r>
          </w:p>
        </w:tc>
      </w:tr>
    </w:tbl>
    <w:p w14:paraId="6012D38A" w14:textId="77777777" w:rsidR="004C5797" w:rsidRDefault="00000000">
      <w:pPr>
        <w:spacing w:before="160" w:after="80"/>
      </w:pPr>
      <w:r>
        <w:rPr>
          <w:b/>
          <w:bCs/>
          <w:sz w:val="22"/>
          <w:szCs w:val="22"/>
        </w:rPr>
        <w:t xml:space="preserve">Top / Bottom Cities by </w:t>
      </w:r>
      <w:proofErr w:type="spellStart"/>
      <w:r>
        <w:rPr>
          <w:b/>
          <w:bCs/>
          <w:sz w:val="22"/>
          <w:szCs w:val="22"/>
        </w:rPr>
        <w:t>Avg</w:t>
      </w:r>
      <w:proofErr w:type="spellEnd"/>
      <w:r>
        <w:rPr>
          <w:b/>
          <w:bCs/>
          <w:sz w:val="22"/>
          <w:szCs w:val="22"/>
        </w:rPr>
        <w:t xml:space="preserve"> Occupancy Rate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50"/>
      </w:tblGrid>
      <w:tr w:rsidR="004C5797" w14:paraId="6E40F91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4A4A8C" w14:textId="77777777" w:rsidR="004C5797" w:rsidRDefault="00000000">
            <w:r>
              <w:rPr>
                <w:b/>
                <w:bCs/>
                <w:sz w:val="21"/>
                <w:szCs w:val="21"/>
              </w:rPr>
              <w:t>Rank</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AA88A" w14:textId="77777777" w:rsidR="004C5797" w:rsidRDefault="00000000">
            <w:r>
              <w:rPr>
                <w:b/>
                <w:bCs/>
                <w:sz w:val="21"/>
                <w:szCs w:val="21"/>
              </w:rPr>
              <w:t>City</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C07B25" w14:textId="77777777" w:rsidR="004C5797" w:rsidRDefault="00000000">
            <w:proofErr w:type="spellStart"/>
            <w:r>
              <w:rPr>
                <w:b/>
                <w:bCs/>
                <w:sz w:val="21"/>
                <w:szCs w:val="21"/>
              </w:rPr>
              <w:t>Avg</w:t>
            </w:r>
            <w:proofErr w:type="spellEnd"/>
            <w:r>
              <w:rPr>
                <w:b/>
                <w:bCs/>
                <w:sz w:val="21"/>
                <w:szCs w:val="21"/>
              </w:rPr>
              <w:t xml:space="preserve"> Occupancy Rate</w:t>
            </w:r>
          </w:p>
        </w:tc>
      </w:tr>
      <w:tr w:rsidR="004C5797" w14:paraId="47D3DC6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A06EC6" w14:textId="77777777" w:rsidR="004C5797" w:rsidRDefault="00000000">
            <w:r>
              <w:rPr>
                <w:sz w:val="21"/>
                <w:szCs w:val="21"/>
              </w:rPr>
              <w:t>1 (Highest)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C67B2C" w14:textId="77777777" w:rsidR="004C5797" w:rsidRDefault="00000000">
            <w:r>
              <w:rPr>
                <w:sz w:val="21"/>
                <w:szCs w:val="21"/>
              </w:rPr>
              <w:t>Dublin</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700746" w14:textId="77777777" w:rsidR="004C5797" w:rsidRDefault="00000000">
            <w:r>
              <w:rPr>
                <w:sz w:val="21"/>
                <w:szCs w:val="21"/>
              </w:rPr>
              <w:t>38.5%</w:t>
            </w:r>
          </w:p>
        </w:tc>
      </w:tr>
      <w:tr w:rsidR="004C5797" w14:paraId="62782D3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BC0CD4" w14:textId="77777777" w:rsidR="004C5797" w:rsidRDefault="00000000">
            <w:r>
              <w:rPr>
                <w:sz w:val="21"/>
                <w:szCs w:val="21"/>
              </w:rPr>
              <w:t>2</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44E294" w14:textId="77777777" w:rsidR="004C5797" w:rsidRDefault="00000000">
            <w:r>
              <w:rPr>
                <w:sz w:val="21"/>
                <w:szCs w:val="21"/>
              </w:rPr>
              <w:t>Toulouse</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B51F21" w14:textId="77777777" w:rsidR="004C5797" w:rsidRDefault="00000000">
            <w:r>
              <w:rPr>
                <w:sz w:val="21"/>
                <w:szCs w:val="21"/>
              </w:rPr>
              <w:t>37.7%</w:t>
            </w:r>
          </w:p>
        </w:tc>
      </w:tr>
      <w:tr w:rsidR="004C5797" w14:paraId="7D3195C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6CB842" w14:textId="77777777" w:rsidR="004C5797" w:rsidRDefault="00000000">
            <w:r>
              <w:rPr>
                <w:sz w:val="21"/>
                <w:szCs w:val="21"/>
              </w:rPr>
              <w:t>3</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584CE" w14:textId="77777777" w:rsidR="004C5797" w:rsidRDefault="00000000">
            <w:r>
              <w:rPr>
                <w:sz w:val="21"/>
                <w:szCs w:val="21"/>
              </w:rPr>
              <w:t>Nantes</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24C1F4" w14:textId="77777777" w:rsidR="004C5797" w:rsidRDefault="00000000">
            <w:r>
              <w:rPr>
                <w:sz w:val="21"/>
                <w:szCs w:val="21"/>
              </w:rPr>
              <w:t>37.4%</w:t>
            </w:r>
          </w:p>
        </w:tc>
      </w:tr>
      <w:tr w:rsidR="004C5797" w14:paraId="587060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4C52A7" w14:textId="77777777" w:rsidR="004C5797" w:rsidRDefault="00000000">
            <w:r>
              <w:rPr>
                <w:sz w:val="21"/>
                <w:szCs w:val="21"/>
              </w:rPr>
              <w: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0BBCA3" w14:textId="77777777" w:rsidR="004C5797" w:rsidRDefault="00000000">
            <w:r>
              <w:rPr>
                <w:sz w:val="21"/>
                <w:szCs w:val="21"/>
              </w:rPr>
              <w:t>...</w:t>
            </w:r>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50AFAD" w14:textId="77777777" w:rsidR="004C5797" w:rsidRDefault="00000000">
            <w:r>
              <w:rPr>
                <w:sz w:val="21"/>
                <w:szCs w:val="21"/>
              </w:rPr>
              <w:t>...</w:t>
            </w:r>
          </w:p>
        </w:tc>
      </w:tr>
      <w:tr w:rsidR="004C5797" w14:paraId="6AAF0E9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303AF8" w14:textId="77777777" w:rsidR="004C5797" w:rsidRDefault="00000000">
            <w:r>
              <w:rPr>
                <w:sz w:val="21"/>
                <w:szCs w:val="21"/>
              </w:rPr>
              <w:t>Lowest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32238" w14:textId="77777777" w:rsidR="004C5797" w:rsidRDefault="00000000">
            <w:r>
              <w:rPr>
                <w:sz w:val="21"/>
                <w:szCs w:val="21"/>
              </w:rPr>
              <w:t>Cergy-</w:t>
            </w:r>
            <w:proofErr w:type="spellStart"/>
            <w:r>
              <w:rPr>
                <w:sz w:val="21"/>
                <w:szCs w:val="21"/>
              </w:rPr>
              <w:t>Pontoise</w:t>
            </w:r>
            <w:proofErr w:type="spellEnd"/>
          </w:p>
        </w:tc>
        <w:tc>
          <w:tcPr>
            <w:tcW w:w="3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54AE4A" w14:textId="77777777" w:rsidR="004C5797" w:rsidRDefault="00000000">
            <w:r>
              <w:rPr>
                <w:sz w:val="21"/>
                <w:szCs w:val="21"/>
              </w:rPr>
              <w:t>2.6% to 3.0%</w:t>
            </w:r>
          </w:p>
        </w:tc>
      </w:tr>
    </w:tbl>
    <w:p w14:paraId="2AC1EC94" w14:textId="77777777" w:rsidR="004319AD" w:rsidRDefault="004319AD">
      <w:pPr>
        <w:pStyle w:val="Heading1"/>
        <w:spacing w:before="360" w:after="60"/>
        <w:rPr>
          <w:b/>
          <w:bCs/>
          <w:color w:val="000000"/>
          <w:sz w:val="27"/>
          <w:szCs w:val="27"/>
          <w:u w:val="single"/>
        </w:rPr>
      </w:pPr>
      <w:r w:rsidRPr="004319AD">
        <w:rPr>
          <w:b/>
          <w:bCs/>
          <w:color w:val="000000"/>
          <w:sz w:val="27"/>
          <w:szCs w:val="27"/>
          <w:u w:val="single"/>
        </w:rPr>
        <w:drawing>
          <wp:inline distT="0" distB="0" distL="0" distR="0" wp14:anchorId="02BFB13F" wp14:editId="11C1ED98">
            <wp:extent cx="6400800" cy="2458085"/>
            <wp:effectExtent l="0" t="0" r="0" b="0"/>
            <wp:docPr id="824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342" name=""/>
                    <pic:cNvPicPr/>
                  </pic:nvPicPr>
                  <pic:blipFill>
                    <a:blip r:embed="rId5"/>
                    <a:stretch>
                      <a:fillRect/>
                    </a:stretch>
                  </pic:blipFill>
                  <pic:spPr>
                    <a:xfrm>
                      <a:off x="0" y="0"/>
                      <a:ext cx="6400800" cy="2458085"/>
                    </a:xfrm>
                    <a:prstGeom prst="rect">
                      <a:avLst/>
                    </a:prstGeom>
                  </pic:spPr>
                </pic:pic>
              </a:graphicData>
            </a:graphic>
          </wp:inline>
        </w:drawing>
      </w:r>
    </w:p>
    <w:p w14:paraId="673875EA" w14:textId="57C48F7F" w:rsidR="004C5797" w:rsidRDefault="00000000">
      <w:pPr>
        <w:pStyle w:val="Heading1"/>
        <w:spacing w:before="360" w:after="60"/>
      </w:pPr>
      <w:r>
        <w:rPr>
          <w:b/>
          <w:bCs/>
          <w:color w:val="000000"/>
          <w:sz w:val="27"/>
          <w:szCs w:val="27"/>
          <w:u w:val="single"/>
        </w:rPr>
        <w:lastRenderedPageBreak/>
        <w:t>2. Diagnostic Analysis</w:t>
      </w:r>
    </w:p>
    <w:p w14:paraId="7C108266" w14:textId="77777777" w:rsidR="004C5797" w:rsidRDefault="00000000">
      <w:pPr>
        <w:spacing w:after="180"/>
      </w:pPr>
      <w:r>
        <w:rPr>
          <w:b/>
          <w:bCs/>
          <w:i/>
          <w:iCs/>
          <w:sz w:val="22"/>
          <w:szCs w:val="22"/>
        </w:rPr>
        <w:t>Why is it happening?</w:t>
      </w:r>
      <w:r>
        <w:rPr>
          <w:i/>
          <w:iCs/>
          <w:sz w:val="22"/>
          <w:szCs w:val="22"/>
        </w:rPr>
        <w:t xml:space="preserve">   |   Focus: Identifies causes behind occupancy and closure patterns</w:t>
      </w:r>
    </w:p>
    <w:p w14:paraId="20676E94" w14:textId="77777777" w:rsidR="004C5797" w:rsidRDefault="00000000">
      <w:pPr>
        <w:spacing w:before="160" w:after="80"/>
      </w:pPr>
      <w:r>
        <w:rPr>
          <w:b/>
          <w:bCs/>
          <w:sz w:val="22"/>
          <w:szCs w:val="22"/>
        </w:rPr>
        <w:t>Business Problem Statement</w:t>
      </w:r>
    </w:p>
    <w:p w14:paraId="3B09F06B" w14:textId="77777777" w:rsidR="004C5797" w:rsidRDefault="00000000">
      <w:pPr>
        <w:spacing w:after="120" w:line="300" w:lineRule="auto"/>
        <w:jc w:val="both"/>
      </w:pPr>
      <w:r>
        <w:rPr>
          <w:sz w:val="22"/>
          <w:szCs w:val="22"/>
        </w:rPr>
        <w:t>A small number of cities (for example Cergy-</w:t>
      </w:r>
      <w:proofErr w:type="spellStart"/>
      <w:r>
        <w:rPr>
          <w:sz w:val="22"/>
          <w:szCs w:val="22"/>
        </w:rPr>
        <w:t>Pontoise</w:t>
      </w:r>
      <w:proofErr w:type="spellEnd"/>
      <w:r>
        <w:rPr>
          <w:sz w:val="22"/>
          <w:szCs w:val="22"/>
        </w:rPr>
        <w:t xml:space="preserve"> and Marseille) show disproportionately low occupancy rates alongside very high closed-station rates, while most cities cluster around a healthy 30-39% occupancy band. It isn't clear whether this reflects genuine low demand, insufficient docking capacity, or stations being taken offline for extended periods. Without this insight, the operator can't tell whether the underperformance is a demand problem or an operations/maintenance problem.</w:t>
      </w:r>
    </w:p>
    <w:p w14:paraId="07590BBF" w14:textId="77777777" w:rsidR="004C5797" w:rsidRDefault="00000000">
      <w:pPr>
        <w:spacing w:before="160" w:after="80"/>
      </w:pPr>
      <w:r>
        <w:rPr>
          <w:b/>
          <w:bCs/>
          <w:sz w:val="22"/>
          <w:szCs w:val="22"/>
        </w:rPr>
        <w:t>Analytical Objective</w:t>
      </w:r>
    </w:p>
    <w:p w14:paraId="7E244DD0" w14:textId="77777777" w:rsidR="004C5797" w:rsidRDefault="00000000">
      <w:pPr>
        <w:pStyle w:val="ListParagraph"/>
        <w:numPr>
          <w:ilvl w:val="0"/>
          <w:numId w:val="2"/>
        </w:numPr>
        <w:spacing w:after="80" w:line="280" w:lineRule="auto"/>
      </w:pPr>
      <w:r>
        <w:rPr>
          <w:sz w:val="22"/>
          <w:szCs w:val="22"/>
        </w:rPr>
        <w:t>Closure Rate Diagnosis: examine why Cergy-</w:t>
      </w:r>
      <w:proofErr w:type="spellStart"/>
      <w:r>
        <w:rPr>
          <w:sz w:val="22"/>
          <w:szCs w:val="22"/>
        </w:rPr>
        <w:t>Pontoise</w:t>
      </w:r>
      <w:proofErr w:type="spellEnd"/>
      <w:r>
        <w:rPr>
          <w:sz w:val="22"/>
          <w:szCs w:val="22"/>
        </w:rPr>
        <w:t xml:space="preserve"> (around 71% closed-station rate) and Marseille (around 34% closed-station rate) run far above the network average of 7.3%.</w:t>
      </w:r>
    </w:p>
    <w:p w14:paraId="51CA23F1" w14:textId="77777777" w:rsidR="004C5797" w:rsidRDefault="00000000">
      <w:pPr>
        <w:pStyle w:val="ListParagraph"/>
        <w:numPr>
          <w:ilvl w:val="0"/>
          <w:numId w:val="2"/>
        </w:numPr>
        <w:spacing w:after="80" w:line="280" w:lineRule="auto"/>
      </w:pPr>
      <w:r>
        <w:rPr>
          <w:sz w:val="22"/>
          <w:szCs w:val="22"/>
        </w:rPr>
        <w:t xml:space="preserve">Occupancy vs. Closure Correlation: cross-reference each city's </w:t>
      </w:r>
      <w:proofErr w:type="spellStart"/>
      <w:r>
        <w:rPr>
          <w:sz w:val="22"/>
          <w:szCs w:val="22"/>
        </w:rPr>
        <w:t>Avg</w:t>
      </w:r>
      <w:proofErr w:type="spellEnd"/>
      <w:r>
        <w:rPr>
          <w:sz w:val="22"/>
          <w:szCs w:val="22"/>
        </w:rPr>
        <w:t xml:space="preserve"> Occupancy Rate against its Closed Station Rate to test whether low occupancy is driven by stations being closed (a supply-side issue) rather than genuinely low ridership.</w:t>
      </w:r>
    </w:p>
    <w:p w14:paraId="52D1A64C" w14:textId="77777777" w:rsidR="004C5797" w:rsidRDefault="00000000">
      <w:pPr>
        <w:pStyle w:val="ListParagraph"/>
        <w:numPr>
          <w:ilvl w:val="0"/>
          <w:numId w:val="2"/>
        </w:numPr>
        <w:spacing w:after="80" w:line="280" w:lineRule="auto"/>
      </w:pPr>
      <w:r>
        <w:rPr>
          <w:sz w:val="22"/>
          <w:szCs w:val="22"/>
        </w:rPr>
        <w:t xml:space="preserve">Underperforming City Diagnosis: use the Underperforming City Flag logic (occupancy under 20% OR </w:t>
      </w:r>
      <w:proofErr w:type="gramStart"/>
      <w:r>
        <w:rPr>
          <w:sz w:val="22"/>
          <w:szCs w:val="22"/>
        </w:rPr>
        <w:t>closed-rate</w:t>
      </w:r>
      <w:proofErr w:type="gramEnd"/>
      <w:r>
        <w:rPr>
          <w:sz w:val="22"/>
          <w:szCs w:val="22"/>
        </w:rPr>
        <w:t xml:space="preserve"> over 15%) to systematically separate cities with a genuine performance issue from cities that simply have thin or incomplete data (flagged "Unknown").</w:t>
      </w:r>
    </w:p>
    <w:p w14:paraId="4FE591F7" w14:textId="77777777" w:rsidR="004C5797" w:rsidRDefault="00000000">
      <w:pPr>
        <w:spacing w:before="160" w:after="80"/>
      </w:pPr>
      <w:r>
        <w:rPr>
          <w:b/>
          <w:bCs/>
          <w:sz w:val="22"/>
          <w:szCs w:val="22"/>
        </w:rPr>
        <w:t>Cities Flagged for Diagnostic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8"/>
        <w:gridCol w:w="2352"/>
        <w:gridCol w:w="2094"/>
        <w:gridCol w:w="2576"/>
      </w:tblGrid>
      <w:tr w:rsidR="004C5797" w14:paraId="7D313F5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1DA133" w14:textId="77777777" w:rsidR="004C5797" w:rsidRDefault="00000000">
            <w:r>
              <w:rPr>
                <w:b/>
                <w:bCs/>
                <w:sz w:val="21"/>
                <w:szCs w:val="21"/>
              </w:rPr>
              <w:t>City</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BDEDA7" w14:textId="77777777" w:rsidR="004C5797" w:rsidRDefault="00000000">
            <w:proofErr w:type="spellStart"/>
            <w:r>
              <w:rPr>
                <w:b/>
                <w:bCs/>
                <w:sz w:val="21"/>
                <w:szCs w:val="21"/>
              </w:rPr>
              <w:t>Avg</w:t>
            </w:r>
            <w:proofErr w:type="spellEnd"/>
            <w:r>
              <w:rPr>
                <w:b/>
                <w:bCs/>
                <w:sz w:val="21"/>
                <w:szCs w:val="21"/>
              </w:rPr>
              <w:t xml:space="preserve"> Occupancy Rate</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530E7D" w14:textId="77777777" w:rsidR="004C5797" w:rsidRDefault="00000000">
            <w:r>
              <w:rPr>
                <w:b/>
                <w:bCs/>
                <w:sz w:val="21"/>
                <w:szCs w:val="21"/>
              </w:rPr>
              <w:t>Closed Station Rate</w:t>
            </w:r>
          </w:p>
        </w:tc>
        <w:tc>
          <w:tcPr>
            <w:tcW w:w="1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5F9DAF" w14:textId="77777777" w:rsidR="004C5797" w:rsidRDefault="00000000">
            <w:r>
              <w:rPr>
                <w:b/>
                <w:bCs/>
                <w:sz w:val="21"/>
                <w:szCs w:val="21"/>
              </w:rPr>
              <w:t>Flag</w:t>
            </w:r>
          </w:p>
        </w:tc>
      </w:tr>
      <w:tr w:rsidR="004C5797" w14:paraId="58E2E58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5763E9" w14:textId="77777777" w:rsidR="004C5797" w:rsidRDefault="00000000">
            <w:r>
              <w:rPr>
                <w:sz w:val="21"/>
                <w:szCs w:val="21"/>
              </w:rPr>
              <w:t>Cergy-</w:t>
            </w:r>
            <w:proofErr w:type="spellStart"/>
            <w:r>
              <w:rPr>
                <w:sz w:val="21"/>
                <w:szCs w:val="21"/>
              </w:rPr>
              <w:t>Pontoise</w:t>
            </w:r>
            <w:proofErr w:type="spellEnd"/>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A0DF26" w14:textId="77777777" w:rsidR="004C5797" w:rsidRDefault="00000000">
            <w:r>
              <w:rPr>
                <w:sz w:val="21"/>
                <w:szCs w:val="21"/>
              </w:rPr>
              <w:t>2.6% to 3.0%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9D982A" w14:textId="77777777" w:rsidR="004C5797" w:rsidRDefault="00000000">
            <w:r>
              <w:rPr>
                <w:sz w:val="21"/>
                <w:szCs w:val="21"/>
              </w:rPr>
              <w:t>71.1%</w:t>
            </w:r>
          </w:p>
        </w:tc>
        <w:tc>
          <w:tcPr>
            <w:tcW w:w="1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E33130" w14:textId="77777777" w:rsidR="004C5797" w:rsidRDefault="00000000">
            <w:r>
              <w:rPr>
                <w:sz w:val="21"/>
                <w:szCs w:val="21"/>
              </w:rPr>
              <w:t>Underperforming</w:t>
            </w:r>
          </w:p>
        </w:tc>
      </w:tr>
      <w:tr w:rsidR="004C5797" w14:paraId="5428952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CB694" w14:textId="77777777" w:rsidR="004C5797" w:rsidRDefault="00000000">
            <w:r>
              <w:rPr>
                <w:sz w:val="21"/>
                <w:szCs w:val="21"/>
              </w:rPr>
              <w:t>Marseille</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44FE45" w14:textId="77777777" w:rsidR="004C5797" w:rsidRDefault="00000000">
            <w:r>
              <w:rPr>
                <w:sz w:val="21"/>
                <w:szCs w:val="21"/>
              </w:rPr>
              <w:t>6.2% to 6.6%</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DB60E1" w14:textId="77777777" w:rsidR="004C5797" w:rsidRDefault="00000000">
            <w:r>
              <w:rPr>
                <w:sz w:val="21"/>
                <w:szCs w:val="21"/>
              </w:rPr>
              <w:t>34.4%</w:t>
            </w:r>
          </w:p>
        </w:tc>
        <w:tc>
          <w:tcPr>
            <w:tcW w:w="1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2059F9" w14:textId="77777777" w:rsidR="004C5797" w:rsidRDefault="00000000">
            <w:r>
              <w:rPr>
                <w:sz w:val="21"/>
                <w:szCs w:val="21"/>
              </w:rPr>
              <w:t>Underperforming</w:t>
            </w:r>
          </w:p>
        </w:tc>
      </w:tr>
      <w:tr w:rsidR="004C5797" w14:paraId="6AA1EF0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EFB285" w14:textId="77777777" w:rsidR="004C5797" w:rsidRDefault="00000000">
            <w:r>
              <w:rPr>
                <w:sz w:val="21"/>
                <w:szCs w:val="21"/>
              </w:rPr>
              <w:t>Namur</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A0639F" w14:textId="77777777" w:rsidR="004C5797" w:rsidRDefault="00000000">
            <w:r>
              <w:rPr>
                <w:sz w:val="21"/>
                <w:szCs w:val="21"/>
              </w:rPr>
              <w:t>28.9%</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1A934A" w14:textId="77777777" w:rsidR="004C5797" w:rsidRDefault="00000000">
            <w:r>
              <w:rPr>
                <w:sz w:val="21"/>
                <w:szCs w:val="21"/>
              </w:rPr>
              <w:t>23.8%</w:t>
            </w:r>
          </w:p>
        </w:tc>
        <w:tc>
          <w:tcPr>
            <w:tcW w:w="1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1777D" w14:textId="77777777" w:rsidR="004C5797" w:rsidRDefault="00000000">
            <w:r>
              <w:rPr>
                <w:sz w:val="21"/>
                <w:szCs w:val="21"/>
              </w:rPr>
              <w:t>Underperforming</w:t>
            </w:r>
          </w:p>
        </w:tc>
      </w:tr>
      <w:tr w:rsidR="004C5797" w14:paraId="71C62AC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5C63C4" w14:textId="77777777" w:rsidR="004C5797" w:rsidRDefault="00000000">
            <w:r>
              <w:rPr>
                <w:sz w:val="21"/>
                <w:szCs w:val="21"/>
              </w:rPr>
              <w:t>Rouen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6C5030" w14:textId="77777777" w:rsidR="004C5797" w:rsidRDefault="00000000">
            <w:r>
              <w:rPr>
                <w:sz w:val="21"/>
                <w:szCs w:val="21"/>
              </w:rPr>
              <w:t>29.0%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4D1030" w14:textId="77777777" w:rsidR="004C5797" w:rsidRDefault="00000000">
            <w:r>
              <w:rPr>
                <w:sz w:val="21"/>
                <w:szCs w:val="21"/>
              </w:rPr>
              <w:t>16.8%</w:t>
            </w:r>
          </w:p>
        </w:tc>
        <w:tc>
          <w:tcPr>
            <w:tcW w:w="1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72D79C" w14:textId="77777777" w:rsidR="004C5797" w:rsidRDefault="00000000">
            <w:r>
              <w:rPr>
                <w:sz w:val="21"/>
                <w:szCs w:val="21"/>
              </w:rPr>
              <w:t>Underperforming</w:t>
            </w:r>
          </w:p>
        </w:tc>
      </w:tr>
      <w:tr w:rsidR="004C5797" w14:paraId="071E5A9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64DDFA" w14:textId="77777777" w:rsidR="004C5797" w:rsidRDefault="00000000">
            <w:r>
              <w:rPr>
                <w:sz w:val="21"/>
                <w:szCs w:val="21"/>
              </w:rPr>
              <w:t xml:space="preserve">Besancon / </w:t>
            </w:r>
            <w:proofErr w:type="spellStart"/>
            <w:r>
              <w:rPr>
                <w:sz w:val="21"/>
                <w:szCs w:val="21"/>
              </w:rPr>
              <w:t>Lillestrom</w:t>
            </w:r>
            <w:proofErr w:type="spellEnd"/>
            <w:r>
              <w:rPr>
                <w:sz w:val="21"/>
                <w:szCs w:val="21"/>
              </w:rPr>
              <w:t xml:space="preserve"> / Ljubljana (thin data)</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A4A20D" w14:textId="77777777" w:rsidR="004C5797" w:rsidRDefault="00000000">
            <w:r>
              <w:rPr>
                <w:sz w:val="21"/>
                <w:szCs w:val="21"/>
              </w:rPr>
              <w:t>-</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E9AB95" w14:textId="77777777" w:rsidR="004C5797" w:rsidRDefault="00000000">
            <w:r>
              <w:rPr>
                <w:sz w:val="21"/>
                <w:szCs w:val="21"/>
              </w:rPr>
              <w:t>-</w:t>
            </w:r>
          </w:p>
        </w:tc>
        <w:tc>
          <w:tcPr>
            <w:tcW w:w="1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684B52" w14:textId="77777777" w:rsidR="004C5797" w:rsidRDefault="00000000">
            <w:r>
              <w:rPr>
                <w:sz w:val="21"/>
                <w:szCs w:val="21"/>
              </w:rPr>
              <w:t>Unknown</w:t>
            </w:r>
          </w:p>
        </w:tc>
      </w:tr>
      <w:tr w:rsidR="004C5797" w14:paraId="2CA06B0D" w14:textId="77777777">
        <w:tblPrEx>
          <w:tblCellMar>
            <w:top w:w="0" w:type="dxa"/>
            <w:bottom w:w="0" w:type="dxa"/>
          </w:tblCellMar>
        </w:tblPrEx>
        <w:tc>
          <w:tcPr>
            <w:tcW w:w="9350" w:type="dxa"/>
            <w:gridSpan w:val="4"/>
            <w:tcBorders>
              <w:top w:val="single" w:sz="4" w:space="0" w:color="000000"/>
              <w:left w:val="single" w:sz="4" w:space="0" w:color="000000"/>
              <w:bottom w:val="single" w:sz="4" w:space="0" w:color="000000"/>
              <w:right w:val="single" w:sz="4" w:space="0" w:color="000000"/>
            </w:tcBorders>
            <w:tcMar>
              <w:top w:w="700" w:type="dxa"/>
              <w:left w:w="200" w:type="dxa"/>
              <w:bottom w:w="700" w:type="dxa"/>
              <w:right w:w="200" w:type="dxa"/>
            </w:tcMar>
          </w:tcPr>
          <w:p w14:paraId="7F3197FB" w14:textId="1FF176C8" w:rsidR="004C5797" w:rsidRDefault="004319AD" w:rsidP="004319AD">
            <w:r w:rsidRPr="004319AD">
              <w:drawing>
                <wp:inline distT="0" distB="0" distL="0" distR="0" wp14:anchorId="0D6686E0" wp14:editId="09B62434">
                  <wp:extent cx="6400800" cy="2076450"/>
                  <wp:effectExtent l="0" t="0" r="0" b="0"/>
                  <wp:docPr id="9128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1723" name=""/>
                          <pic:cNvPicPr/>
                        </pic:nvPicPr>
                        <pic:blipFill>
                          <a:blip r:embed="rId6"/>
                          <a:stretch>
                            <a:fillRect/>
                          </a:stretch>
                        </pic:blipFill>
                        <pic:spPr>
                          <a:xfrm>
                            <a:off x="0" y="0"/>
                            <a:ext cx="6400800" cy="2076450"/>
                          </a:xfrm>
                          <a:prstGeom prst="rect">
                            <a:avLst/>
                          </a:prstGeom>
                        </pic:spPr>
                      </pic:pic>
                    </a:graphicData>
                  </a:graphic>
                </wp:inline>
              </w:drawing>
            </w:r>
          </w:p>
        </w:tc>
      </w:tr>
    </w:tbl>
    <w:p w14:paraId="213796BC" w14:textId="77777777" w:rsidR="004C5797" w:rsidRDefault="00000000">
      <w:pPr>
        <w:pStyle w:val="Heading1"/>
        <w:spacing w:before="360" w:after="60"/>
      </w:pPr>
      <w:r>
        <w:rPr>
          <w:b/>
          <w:bCs/>
          <w:color w:val="000000"/>
          <w:sz w:val="27"/>
          <w:szCs w:val="27"/>
          <w:u w:val="single"/>
        </w:rPr>
        <w:lastRenderedPageBreak/>
        <w:t>3. Predictive Analysis</w:t>
      </w:r>
    </w:p>
    <w:p w14:paraId="6C9E68EF" w14:textId="77777777" w:rsidR="004C5797" w:rsidRDefault="00000000">
      <w:pPr>
        <w:spacing w:after="180"/>
      </w:pPr>
      <w:r>
        <w:rPr>
          <w:b/>
          <w:bCs/>
          <w:i/>
          <w:iCs/>
          <w:sz w:val="22"/>
          <w:szCs w:val="22"/>
        </w:rPr>
        <w:t>What is likely to happen?</w:t>
      </w:r>
      <w:r>
        <w:rPr>
          <w:i/>
          <w:iCs/>
          <w:sz w:val="22"/>
          <w:szCs w:val="22"/>
        </w:rPr>
        <w:t xml:space="preserve">   |   Focus: Uses historical trend to anticipate near-term occupancy</w:t>
      </w:r>
    </w:p>
    <w:p w14:paraId="142C9356" w14:textId="77777777" w:rsidR="004C5797" w:rsidRDefault="00000000">
      <w:pPr>
        <w:spacing w:before="160" w:after="80"/>
      </w:pPr>
      <w:r>
        <w:rPr>
          <w:b/>
          <w:bCs/>
          <w:sz w:val="22"/>
          <w:szCs w:val="22"/>
        </w:rPr>
        <w:t>Business Problem Statement</w:t>
      </w:r>
    </w:p>
    <w:p w14:paraId="0D1CFD1F" w14:textId="77777777" w:rsidR="004C5797" w:rsidRDefault="00000000">
      <w:pPr>
        <w:spacing w:after="120" w:line="300" w:lineRule="auto"/>
        <w:jc w:val="both"/>
      </w:pPr>
      <w:r>
        <w:rPr>
          <w:sz w:val="22"/>
          <w:szCs w:val="22"/>
        </w:rPr>
        <w:t>With roughly three and a half years of station snapshot history (2022 to 2025), the operator needs a way to anticipate near-term occupancy levels and identify which cities are likely to keep trending up or down, so that bike-rebalancing and maintenance planning isn't based on guesswork.</w:t>
      </w:r>
    </w:p>
    <w:p w14:paraId="2C274E8D" w14:textId="77777777" w:rsidR="004C5797" w:rsidRDefault="00000000">
      <w:pPr>
        <w:spacing w:before="160" w:after="80"/>
      </w:pPr>
      <w:r>
        <w:rPr>
          <w:b/>
          <w:bCs/>
          <w:sz w:val="22"/>
          <w:szCs w:val="22"/>
        </w:rPr>
        <w:t>Analytical Objective</w:t>
      </w:r>
    </w:p>
    <w:p w14:paraId="7AFD4B37" w14:textId="77777777" w:rsidR="004C5797" w:rsidRDefault="00000000">
      <w:pPr>
        <w:pStyle w:val="ListParagraph"/>
        <w:numPr>
          <w:ilvl w:val="0"/>
          <w:numId w:val="2"/>
        </w:numPr>
        <w:spacing w:after="80" w:line="280" w:lineRule="auto"/>
      </w:pPr>
      <w:r>
        <w:rPr>
          <w:sz w:val="22"/>
          <w:szCs w:val="22"/>
        </w:rPr>
        <w:t xml:space="preserve">Use the recurring occupancy trend (the Occupancy Trend Over </w:t>
      </w:r>
      <w:proofErr w:type="gramStart"/>
      <w:r>
        <w:rPr>
          <w:sz w:val="22"/>
          <w:szCs w:val="22"/>
        </w:rPr>
        <w:t>Time line</w:t>
      </w:r>
      <w:proofErr w:type="gramEnd"/>
      <w:r>
        <w:rPr>
          <w:sz w:val="22"/>
          <w:szCs w:val="22"/>
        </w:rPr>
        <w:t xml:space="preserve"> chart, 2022 to 2025) to anticipate likely near-term occupancy levels for the network.</w:t>
      </w:r>
    </w:p>
    <w:p w14:paraId="623B6E92" w14:textId="77777777" w:rsidR="004C5797" w:rsidRDefault="00000000">
      <w:pPr>
        <w:pStyle w:val="ListParagraph"/>
        <w:numPr>
          <w:ilvl w:val="0"/>
          <w:numId w:val="2"/>
        </w:numPr>
        <w:spacing w:after="80" w:line="280" w:lineRule="auto"/>
      </w:pPr>
      <w:r>
        <w:rPr>
          <w:sz w:val="22"/>
          <w:szCs w:val="22"/>
        </w:rPr>
        <w:t>Use the Year-over-Year Occupancy Change measure to identify which cities are likely to continue increasing or decreasing in occupancy if current usage patterns persist.</w:t>
      </w:r>
    </w:p>
    <w:p w14:paraId="1D0DBEF8" w14:textId="77777777" w:rsidR="004C5797" w:rsidRDefault="00000000">
      <w:pPr>
        <w:pStyle w:val="ListParagraph"/>
        <w:numPr>
          <w:ilvl w:val="0"/>
          <w:numId w:val="2"/>
        </w:numPr>
        <w:spacing w:after="80" w:line="280" w:lineRule="auto"/>
      </w:pPr>
      <w:r>
        <w:rPr>
          <w:sz w:val="22"/>
          <w:szCs w:val="22"/>
        </w:rPr>
        <w:t>Flag cities that are likely to remain Underperforming absent intervention, based on their trend direction rather than a single snapshot in time.</w:t>
      </w:r>
    </w:p>
    <w:p w14:paraId="3363E119" w14:textId="77777777" w:rsidR="004C5797" w:rsidRDefault="00000000">
      <w:pPr>
        <w:spacing w:before="160" w:after="80"/>
      </w:pPr>
      <w:r>
        <w:rPr>
          <w:b/>
          <w:bCs/>
          <w:sz w:val="22"/>
          <w:szCs w:val="22"/>
        </w:rPr>
        <w:t>Note on Scope</w:t>
      </w:r>
    </w:p>
    <w:p w14:paraId="19BF4DFB" w14:textId="77777777" w:rsidR="004C5797" w:rsidRDefault="00000000">
      <w:pPr>
        <w:spacing w:after="120" w:line="300" w:lineRule="auto"/>
        <w:jc w:val="both"/>
      </w:pPr>
      <w:r>
        <w:rPr>
          <w:sz w:val="22"/>
          <w:szCs w:val="22"/>
        </w:rPr>
        <w:t>The current dashboard surfaces the historical trend line and a Year-over-Year Occupancy Change measure, which support directional and trend-based prediction. A formal forecasting model (for example a statistical or machine-learning projection with confidence intervals) was outside the scope of this Power BI build and would be a natural next step using the same underlying occupancy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C5797" w14:paraId="5D6A66C2"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700" w:type="dxa"/>
              <w:left w:w="200" w:type="dxa"/>
              <w:bottom w:w="700" w:type="dxa"/>
              <w:right w:w="200" w:type="dxa"/>
            </w:tcMar>
          </w:tcPr>
          <w:p w14:paraId="5B1F5E1D" w14:textId="28503F67" w:rsidR="004C5797" w:rsidRDefault="004319AD" w:rsidP="004319AD">
            <w:r w:rsidRPr="004319AD">
              <w:drawing>
                <wp:inline distT="0" distB="0" distL="0" distR="0" wp14:anchorId="299D1C4D" wp14:editId="52536497">
                  <wp:extent cx="6362700" cy="3714750"/>
                  <wp:effectExtent l="0" t="0" r="0" b="0"/>
                  <wp:docPr id="16196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3848" name=""/>
                          <pic:cNvPicPr/>
                        </pic:nvPicPr>
                        <pic:blipFill>
                          <a:blip r:embed="rId7"/>
                          <a:stretch>
                            <a:fillRect/>
                          </a:stretch>
                        </pic:blipFill>
                        <pic:spPr>
                          <a:xfrm>
                            <a:off x="0" y="0"/>
                            <a:ext cx="6363605" cy="3715278"/>
                          </a:xfrm>
                          <a:prstGeom prst="rect">
                            <a:avLst/>
                          </a:prstGeom>
                        </pic:spPr>
                      </pic:pic>
                    </a:graphicData>
                  </a:graphic>
                </wp:inline>
              </w:drawing>
            </w:r>
          </w:p>
        </w:tc>
      </w:tr>
    </w:tbl>
    <w:p w14:paraId="55F513B7" w14:textId="77777777" w:rsidR="004C5797" w:rsidRDefault="00000000">
      <w:pPr>
        <w:pStyle w:val="Heading1"/>
        <w:spacing w:before="360" w:after="60"/>
      </w:pPr>
      <w:r>
        <w:rPr>
          <w:b/>
          <w:bCs/>
          <w:color w:val="000000"/>
          <w:sz w:val="27"/>
          <w:szCs w:val="27"/>
          <w:u w:val="single"/>
        </w:rPr>
        <w:lastRenderedPageBreak/>
        <w:t>4. Prescriptive Analysis</w:t>
      </w:r>
    </w:p>
    <w:p w14:paraId="36023B42" w14:textId="77777777" w:rsidR="004C5797" w:rsidRDefault="00000000">
      <w:pPr>
        <w:spacing w:after="180"/>
      </w:pPr>
      <w:r>
        <w:rPr>
          <w:b/>
          <w:bCs/>
          <w:i/>
          <w:iCs/>
          <w:sz w:val="22"/>
          <w:szCs w:val="22"/>
        </w:rPr>
        <w:t>What should we do about it?</w:t>
      </w:r>
      <w:r>
        <w:rPr>
          <w:i/>
          <w:iCs/>
          <w:sz w:val="22"/>
          <w:szCs w:val="22"/>
        </w:rPr>
        <w:t xml:space="preserve">   |   Focus: Recommends actions to improve network performance</w:t>
      </w:r>
    </w:p>
    <w:p w14:paraId="0EA81C69" w14:textId="77777777" w:rsidR="004C5797" w:rsidRDefault="00000000">
      <w:pPr>
        <w:spacing w:before="160" w:after="80"/>
      </w:pPr>
      <w:r>
        <w:rPr>
          <w:b/>
          <w:bCs/>
          <w:sz w:val="22"/>
          <w:szCs w:val="22"/>
        </w:rPr>
        <w:t>Business Problem Statement</w:t>
      </w:r>
    </w:p>
    <w:p w14:paraId="62569BEB" w14:textId="77777777" w:rsidR="004C5797" w:rsidRDefault="00000000">
      <w:pPr>
        <w:spacing w:after="120" w:line="300" w:lineRule="auto"/>
        <w:jc w:val="both"/>
      </w:pPr>
      <w:r>
        <w:rPr>
          <w:sz w:val="22"/>
          <w:szCs w:val="22"/>
        </w:rPr>
        <w:t>Several cities are flagged as Underperforming due to low occupancy and/or high closed-station rates, but there is currently no defined action plan for station maintenance, bike rebalancing, or expansion focus, leaving clear improvement opportunities unaddressed.</w:t>
      </w:r>
    </w:p>
    <w:p w14:paraId="2FA873EB" w14:textId="77777777" w:rsidR="004C5797" w:rsidRDefault="00000000">
      <w:pPr>
        <w:spacing w:before="160" w:after="80"/>
      </w:pPr>
      <w:r>
        <w:rPr>
          <w:b/>
          <w:bCs/>
          <w:sz w:val="22"/>
          <w:szCs w:val="22"/>
        </w:rPr>
        <w:t>Analytical Objective / Recommendations</w:t>
      </w:r>
    </w:p>
    <w:p w14:paraId="6C73C746" w14:textId="77777777" w:rsidR="004C5797" w:rsidRDefault="00000000">
      <w:pPr>
        <w:pStyle w:val="ListParagraph"/>
        <w:numPr>
          <w:ilvl w:val="0"/>
          <w:numId w:val="2"/>
        </w:numPr>
        <w:spacing w:after="80" w:line="280" w:lineRule="auto"/>
      </w:pPr>
      <w:r>
        <w:rPr>
          <w:sz w:val="22"/>
          <w:szCs w:val="22"/>
        </w:rPr>
        <w:t>Prioritize maintenance and station audits in Cergy-</w:t>
      </w:r>
      <w:proofErr w:type="spellStart"/>
      <w:r>
        <w:rPr>
          <w:sz w:val="22"/>
          <w:szCs w:val="22"/>
        </w:rPr>
        <w:t>Pontoise</w:t>
      </w:r>
      <w:proofErr w:type="spellEnd"/>
      <w:r>
        <w:rPr>
          <w:sz w:val="22"/>
          <w:szCs w:val="22"/>
        </w:rPr>
        <w:t xml:space="preserve"> and Marseille first, given closed-station rates of 71.1% and 34.4% respectively, far above the 7.3% network average, since restoring these stations to active status is likely the single highest-leverage fix available.</w:t>
      </w:r>
    </w:p>
    <w:p w14:paraId="30B0BE85" w14:textId="77777777" w:rsidR="004C5797" w:rsidRDefault="00000000">
      <w:pPr>
        <w:pStyle w:val="ListParagraph"/>
        <w:numPr>
          <w:ilvl w:val="0"/>
          <w:numId w:val="2"/>
        </w:numPr>
        <w:spacing w:after="80" w:line="280" w:lineRule="auto"/>
      </w:pPr>
      <w:r>
        <w:rPr>
          <w:sz w:val="22"/>
          <w:szCs w:val="22"/>
        </w:rPr>
        <w:t>Rebalance bike/dock allocation in Namur and Rouen, where moderate occupancy (around 29%) combined with elevated closure rates (17-24%) suggests partial rather than total station failure, a smaller-scale operational fix rather than a full audit.</w:t>
      </w:r>
    </w:p>
    <w:p w14:paraId="0789B1FC" w14:textId="77777777" w:rsidR="004C5797" w:rsidRDefault="00000000">
      <w:pPr>
        <w:pStyle w:val="ListParagraph"/>
        <w:numPr>
          <w:ilvl w:val="0"/>
          <w:numId w:val="2"/>
        </w:numPr>
        <w:spacing w:after="80" w:line="280" w:lineRule="auto"/>
      </w:pPr>
      <w:r>
        <w:rPr>
          <w:sz w:val="22"/>
          <w:szCs w:val="22"/>
        </w:rPr>
        <w:t>Study and replicate practices from top-performing cities (Dublin, Toulouse, Nantes, all at 37-39% occupancy with under 1% closed-station rates) as a benchmark for station uptime and availability elsewhere in the network.</w:t>
      </w:r>
    </w:p>
    <w:p w14:paraId="487DD6D4" w14:textId="77777777" w:rsidR="004C5797" w:rsidRPr="004319AD" w:rsidRDefault="00000000">
      <w:pPr>
        <w:pStyle w:val="ListParagraph"/>
        <w:numPr>
          <w:ilvl w:val="0"/>
          <w:numId w:val="2"/>
        </w:numPr>
        <w:spacing w:after="80" w:line="280" w:lineRule="auto"/>
      </w:pPr>
      <w:r>
        <w:rPr>
          <w:sz w:val="22"/>
          <w:szCs w:val="22"/>
        </w:rPr>
        <w:t xml:space="preserve">Investigate cities flagged "Unknown" (Besancon, </w:t>
      </w:r>
      <w:proofErr w:type="spellStart"/>
      <w:r>
        <w:rPr>
          <w:sz w:val="22"/>
          <w:szCs w:val="22"/>
        </w:rPr>
        <w:t>Lillestrom</w:t>
      </w:r>
      <w:proofErr w:type="spellEnd"/>
      <w:r>
        <w:rPr>
          <w:sz w:val="22"/>
          <w:szCs w:val="22"/>
        </w:rPr>
        <w:t>, Ljubljana, and others) to determine whether thin data reflects a genuinely small deployment or a data-collection gap, before drawing performance conclusions about them.</w:t>
      </w:r>
    </w:p>
    <w:p w14:paraId="0CF2C011" w14:textId="4BA98A3A" w:rsidR="004319AD" w:rsidRDefault="004319AD" w:rsidP="004319AD">
      <w:pPr>
        <w:pStyle w:val="ListParagraph"/>
        <w:spacing w:after="80" w:line="280" w:lineRule="auto"/>
        <w:ind w:left="420"/>
      </w:pPr>
      <w:r w:rsidRPr="004319AD">
        <w:drawing>
          <wp:inline distT="0" distB="0" distL="0" distR="0" wp14:anchorId="4228C2DD" wp14:editId="30C8726D">
            <wp:extent cx="6144482" cy="4467849"/>
            <wp:effectExtent l="0" t="0" r="0" b="9525"/>
            <wp:docPr id="23287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1852" name=""/>
                    <pic:cNvPicPr/>
                  </pic:nvPicPr>
                  <pic:blipFill>
                    <a:blip r:embed="rId8"/>
                    <a:stretch>
                      <a:fillRect/>
                    </a:stretch>
                  </pic:blipFill>
                  <pic:spPr>
                    <a:xfrm>
                      <a:off x="0" y="0"/>
                      <a:ext cx="6144482" cy="4467849"/>
                    </a:xfrm>
                    <a:prstGeom prst="rect">
                      <a:avLst/>
                    </a:prstGeom>
                  </pic:spPr>
                </pic:pic>
              </a:graphicData>
            </a:graphic>
          </wp:inline>
        </w:drawing>
      </w:r>
    </w:p>
    <w:p w14:paraId="1EA76B65" w14:textId="77777777" w:rsidR="004C5797" w:rsidRDefault="00000000">
      <w:pPr>
        <w:spacing w:before="160" w:after="80"/>
      </w:pPr>
      <w:r>
        <w:rPr>
          <w:b/>
          <w:bCs/>
          <w:sz w:val="22"/>
          <w:szCs w:val="22"/>
        </w:rPr>
        <w:lastRenderedPageBreak/>
        <w:t>Recommended Action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50"/>
        <w:gridCol w:w="5100"/>
      </w:tblGrid>
      <w:tr w:rsidR="004C5797" w14:paraId="14167014"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CFB625" w14:textId="77777777" w:rsidR="004C5797" w:rsidRDefault="00000000">
            <w:r>
              <w:rPr>
                <w:b/>
                <w:bCs/>
                <w:sz w:val="21"/>
                <w:szCs w:val="21"/>
              </w:rPr>
              <w:t>Priority</w:t>
            </w:r>
          </w:p>
        </w:tc>
        <w:tc>
          <w:tcPr>
            <w:tcW w:w="2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8B629D" w14:textId="77777777" w:rsidR="004C5797" w:rsidRDefault="00000000">
            <w:r>
              <w:rPr>
                <w:b/>
                <w:bCs/>
                <w:sz w:val="21"/>
                <w:szCs w:val="21"/>
              </w:rPr>
              <w:t>City / Group</w:t>
            </w:r>
          </w:p>
        </w:tc>
        <w:tc>
          <w:tcPr>
            <w:tcW w:w="5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52EB36" w14:textId="77777777" w:rsidR="004C5797" w:rsidRDefault="00000000">
            <w:r>
              <w:rPr>
                <w:b/>
                <w:bCs/>
                <w:sz w:val="21"/>
                <w:szCs w:val="21"/>
              </w:rPr>
              <w:t>Recommended Action</w:t>
            </w:r>
          </w:p>
        </w:tc>
      </w:tr>
      <w:tr w:rsidR="004C5797" w14:paraId="327A672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D673AD" w14:textId="77777777" w:rsidR="004C5797" w:rsidRDefault="00000000">
            <w:r>
              <w:rPr>
                <w:sz w:val="21"/>
                <w:szCs w:val="21"/>
              </w:rPr>
              <w:t>High</w:t>
            </w:r>
          </w:p>
        </w:tc>
        <w:tc>
          <w:tcPr>
            <w:tcW w:w="2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208778" w14:textId="77777777" w:rsidR="004C5797" w:rsidRDefault="00000000">
            <w:r>
              <w:rPr>
                <w:sz w:val="21"/>
                <w:szCs w:val="21"/>
              </w:rPr>
              <w:t>Cergy-</w:t>
            </w:r>
            <w:proofErr w:type="spellStart"/>
            <w:r>
              <w:rPr>
                <w:sz w:val="21"/>
                <w:szCs w:val="21"/>
              </w:rPr>
              <w:t>Pontoise</w:t>
            </w:r>
            <w:proofErr w:type="spellEnd"/>
            <w:r>
              <w:rPr>
                <w:sz w:val="21"/>
                <w:szCs w:val="21"/>
              </w:rPr>
              <w:t>, Marseille</w:t>
            </w:r>
          </w:p>
        </w:tc>
        <w:tc>
          <w:tcPr>
            <w:tcW w:w="5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F9D558" w14:textId="77777777" w:rsidR="004C5797" w:rsidRDefault="00000000">
            <w:r>
              <w:rPr>
                <w:sz w:val="21"/>
                <w:szCs w:val="21"/>
              </w:rPr>
              <w:t>Immediate station audit and maintenance - closed-rate far above network average</w:t>
            </w:r>
          </w:p>
        </w:tc>
      </w:tr>
      <w:tr w:rsidR="004C5797" w14:paraId="7BD591A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D37F36" w14:textId="77777777" w:rsidR="004C5797" w:rsidRDefault="00000000">
            <w:r>
              <w:rPr>
                <w:sz w:val="21"/>
                <w:szCs w:val="21"/>
              </w:rPr>
              <w:t>Medium</w:t>
            </w:r>
          </w:p>
        </w:tc>
        <w:tc>
          <w:tcPr>
            <w:tcW w:w="2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3F7C1" w14:textId="77777777" w:rsidR="004C5797" w:rsidRDefault="00000000">
            <w:r>
              <w:rPr>
                <w:sz w:val="21"/>
                <w:szCs w:val="21"/>
              </w:rPr>
              <w:t>Namur, Rouen</w:t>
            </w:r>
          </w:p>
        </w:tc>
        <w:tc>
          <w:tcPr>
            <w:tcW w:w="5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04AFB6" w14:textId="77777777" w:rsidR="004C5797" w:rsidRDefault="00000000">
            <w:r>
              <w:rPr>
                <w:sz w:val="21"/>
                <w:szCs w:val="21"/>
              </w:rPr>
              <w:t>Targeted bike/dock rebalancing to lift occupancy</w:t>
            </w:r>
          </w:p>
        </w:tc>
      </w:tr>
      <w:tr w:rsidR="004C5797" w14:paraId="638347A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2EC19" w14:textId="77777777" w:rsidR="004C5797" w:rsidRDefault="00000000">
            <w:r>
              <w:rPr>
                <w:sz w:val="21"/>
                <w:szCs w:val="21"/>
              </w:rPr>
              <w:t>Benchmark</w:t>
            </w:r>
          </w:p>
        </w:tc>
        <w:tc>
          <w:tcPr>
            <w:tcW w:w="2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6848EE" w14:textId="77777777" w:rsidR="004C5797" w:rsidRDefault="00000000">
            <w:r>
              <w:rPr>
                <w:sz w:val="21"/>
                <w:szCs w:val="21"/>
              </w:rPr>
              <w:t>Dublin, Toulouse, Nantes</w:t>
            </w:r>
          </w:p>
        </w:tc>
        <w:tc>
          <w:tcPr>
            <w:tcW w:w="5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2C818" w14:textId="77777777" w:rsidR="004C5797" w:rsidRDefault="00000000">
            <w:r>
              <w:rPr>
                <w:sz w:val="21"/>
                <w:szCs w:val="21"/>
              </w:rPr>
              <w:t>Use as best-practice reference for uptime and availability</w:t>
            </w:r>
          </w:p>
        </w:tc>
      </w:tr>
      <w:tr w:rsidR="004C5797" w14:paraId="38F34AC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123D8" w14:textId="77777777" w:rsidR="004C5797" w:rsidRDefault="00000000">
            <w:r>
              <w:rPr>
                <w:sz w:val="21"/>
                <w:szCs w:val="21"/>
              </w:rPr>
              <w:t>Investigate</w:t>
            </w:r>
          </w:p>
        </w:tc>
        <w:tc>
          <w:tcPr>
            <w:tcW w:w="2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A8DC34" w14:textId="77777777" w:rsidR="004C5797" w:rsidRDefault="00000000">
            <w:r>
              <w:rPr>
                <w:sz w:val="21"/>
                <w:szCs w:val="21"/>
              </w:rPr>
              <w:t xml:space="preserve">Besancon, </w:t>
            </w:r>
            <w:proofErr w:type="spellStart"/>
            <w:r>
              <w:rPr>
                <w:sz w:val="21"/>
                <w:szCs w:val="21"/>
              </w:rPr>
              <w:t>Lillestrom</w:t>
            </w:r>
            <w:proofErr w:type="spellEnd"/>
            <w:r>
              <w:rPr>
                <w:sz w:val="21"/>
                <w:szCs w:val="21"/>
              </w:rPr>
              <w:t>, Ljubljana</w:t>
            </w:r>
          </w:p>
        </w:tc>
        <w:tc>
          <w:tcPr>
            <w:tcW w:w="5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147C59" w14:textId="77777777" w:rsidR="004C5797" w:rsidRDefault="00000000">
            <w:r>
              <w:rPr>
                <w:sz w:val="21"/>
                <w:szCs w:val="21"/>
              </w:rPr>
              <w:t>Confirm whether "Unknown" status is a data gap or a small deployment</w:t>
            </w:r>
          </w:p>
        </w:tc>
      </w:tr>
    </w:tbl>
    <w:p w14:paraId="6888BC96" w14:textId="77777777" w:rsidR="004C5797" w:rsidRDefault="004C5797">
      <w:pPr>
        <w:spacing w:before="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C5797" w14:paraId="01E1B3C9"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700" w:type="dxa"/>
              <w:left w:w="200" w:type="dxa"/>
              <w:bottom w:w="700" w:type="dxa"/>
              <w:right w:w="200" w:type="dxa"/>
            </w:tcMar>
          </w:tcPr>
          <w:p w14:paraId="60B7AFD7" w14:textId="6CD26E54" w:rsidR="004C5797" w:rsidRDefault="004319AD" w:rsidP="004319AD">
            <w:r w:rsidRPr="004319AD">
              <w:drawing>
                <wp:inline distT="0" distB="0" distL="0" distR="0" wp14:anchorId="5FDF7976" wp14:editId="1B4381E8">
                  <wp:extent cx="6400800" cy="3599180"/>
                  <wp:effectExtent l="0" t="0" r="0" b="1270"/>
                  <wp:docPr id="15930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906" name=""/>
                          <pic:cNvPicPr/>
                        </pic:nvPicPr>
                        <pic:blipFill>
                          <a:blip r:embed="rId9"/>
                          <a:stretch>
                            <a:fillRect/>
                          </a:stretch>
                        </pic:blipFill>
                        <pic:spPr>
                          <a:xfrm>
                            <a:off x="0" y="0"/>
                            <a:ext cx="6400800" cy="3599180"/>
                          </a:xfrm>
                          <a:prstGeom prst="rect">
                            <a:avLst/>
                          </a:prstGeom>
                        </pic:spPr>
                      </pic:pic>
                    </a:graphicData>
                  </a:graphic>
                </wp:inline>
              </w:drawing>
            </w:r>
          </w:p>
        </w:tc>
      </w:tr>
    </w:tbl>
    <w:p w14:paraId="4ABACFFB" w14:textId="77777777" w:rsidR="008D4F74" w:rsidRDefault="008D4F74"/>
    <w:sectPr w:rsidR="008D4F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E417E"/>
    <w:multiLevelType w:val="hybridMultilevel"/>
    <w:tmpl w:val="9C0AC89E"/>
    <w:lvl w:ilvl="0" w:tplc="F8BCEF3E">
      <w:start w:val="1"/>
      <w:numFmt w:val="bullet"/>
      <w:lvlText w:val="-"/>
      <w:lvlJc w:val="left"/>
      <w:pPr>
        <w:ind w:left="420" w:hanging="260"/>
      </w:pPr>
    </w:lvl>
    <w:lvl w:ilvl="1" w:tplc="D952BDF4">
      <w:numFmt w:val="decimal"/>
      <w:lvlText w:val=""/>
      <w:lvlJc w:val="left"/>
    </w:lvl>
    <w:lvl w:ilvl="2" w:tplc="E604D1F6">
      <w:numFmt w:val="decimal"/>
      <w:lvlText w:val=""/>
      <w:lvlJc w:val="left"/>
    </w:lvl>
    <w:lvl w:ilvl="3" w:tplc="6BF4DE7C">
      <w:numFmt w:val="decimal"/>
      <w:lvlText w:val=""/>
      <w:lvlJc w:val="left"/>
    </w:lvl>
    <w:lvl w:ilvl="4" w:tplc="C4FA5002">
      <w:numFmt w:val="decimal"/>
      <w:lvlText w:val=""/>
      <w:lvlJc w:val="left"/>
    </w:lvl>
    <w:lvl w:ilvl="5" w:tplc="DA8248D0">
      <w:numFmt w:val="decimal"/>
      <w:lvlText w:val=""/>
      <w:lvlJc w:val="left"/>
    </w:lvl>
    <w:lvl w:ilvl="6" w:tplc="E58CF12E">
      <w:numFmt w:val="decimal"/>
      <w:lvlText w:val=""/>
      <w:lvlJc w:val="left"/>
    </w:lvl>
    <w:lvl w:ilvl="7" w:tplc="17D46B04">
      <w:numFmt w:val="decimal"/>
      <w:lvlText w:val=""/>
      <w:lvlJc w:val="left"/>
    </w:lvl>
    <w:lvl w:ilvl="8" w:tplc="ED9E7B98">
      <w:numFmt w:val="decimal"/>
      <w:lvlText w:val=""/>
      <w:lvlJc w:val="left"/>
    </w:lvl>
  </w:abstractNum>
  <w:abstractNum w:abstractNumId="1" w15:restartNumberingAfterBreak="0">
    <w:nsid w:val="5AC91E49"/>
    <w:multiLevelType w:val="hybridMultilevel"/>
    <w:tmpl w:val="0B064EBE"/>
    <w:lvl w:ilvl="0" w:tplc="51C45930">
      <w:start w:val="1"/>
      <w:numFmt w:val="bullet"/>
      <w:lvlText w:val="●"/>
      <w:lvlJc w:val="left"/>
      <w:pPr>
        <w:ind w:left="720" w:hanging="360"/>
      </w:pPr>
    </w:lvl>
    <w:lvl w:ilvl="1" w:tplc="14520E3E">
      <w:start w:val="1"/>
      <w:numFmt w:val="bullet"/>
      <w:lvlText w:val="○"/>
      <w:lvlJc w:val="left"/>
      <w:pPr>
        <w:ind w:left="1440" w:hanging="360"/>
      </w:pPr>
    </w:lvl>
    <w:lvl w:ilvl="2" w:tplc="DC30D03C">
      <w:start w:val="1"/>
      <w:numFmt w:val="bullet"/>
      <w:lvlText w:val="■"/>
      <w:lvlJc w:val="left"/>
      <w:pPr>
        <w:ind w:left="2160" w:hanging="360"/>
      </w:pPr>
    </w:lvl>
    <w:lvl w:ilvl="3" w:tplc="3A74F3E6">
      <w:start w:val="1"/>
      <w:numFmt w:val="bullet"/>
      <w:lvlText w:val="●"/>
      <w:lvlJc w:val="left"/>
      <w:pPr>
        <w:ind w:left="2880" w:hanging="360"/>
      </w:pPr>
    </w:lvl>
    <w:lvl w:ilvl="4" w:tplc="65F6EB36">
      <w:start w:val="1"/>
      <w:numFmt w:val="bullet"/>
      <w:lvlText w:val="○"/>
      <w:lvlJc w:val="left"/>
      <w:pPr>
        <w:ind w:left="3600" w:hanging="360"/>
      </w:pPr>
    </w:lvl>
    <w:lvl w:ilvl="5" w:tplc="3D0EBD9E">
      <w:start w:val="1"/>
      <w:numFmt w:val="bullet"/>
      <w:lvlText w:val="■"/>
      <w:lvlJc w:val="left"/>
      <w:pPr>
        <w:ind w:left="4320" w:hanging="360"/>
      </w:pPr>
    </w:lvl>
    <w:lvl w:ilvl="6" w:tplc="0C0A2A8C">
      <w:start w:val="1"/>
      <w:numFmt w:val="bullet"/>
      <w:lvlText w:val="●"/>
      <w:lvlJc w:val="left"/>
      <w:pPr>
        <w:ind w:left="5040" w:hanging="360"/>
      </w:pPr>
    </w:lvl>
    <w:lvl w:ilvl="7" w:tplc="8A729980">
      <w:start w:val="1"/>
      <w:numFmt w:val="bullet"/>
      <w:lvlText w:val="●"/>
      <w:lvlJc w:val="left"/>
      <w:pPr>
        <w:ind w:left="5760" w:hanging="360"/>
      </w:pPr>
    </w:lvl>
    <w:lvl w:ilvl="8" w:tplc="52505E1A">
      <w:start w:val="1"/>
      <w:numFmt w:val="bullet"/>
      <w:lvlText w:val="●"/>
      <w:lvlJc w:val="left"/>
      <w:pPr>
        <w:ind w:left="6480" w:hanging="360"/>
      </w:pPr>
    </w:lvl>
  </w:abstractNum>
  <w:num w:numId="1" w16cid:durableId="25066354">
    <w:abstractNumId w:val="1"/>
    <w:lvlOverride w:ilvl="0">
      <w:startOverride w:val="1"/>
    </w:lvlOverride>
  </w:num>
  <w:num w:numId="2" w16cid:durableId="1533767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797"/>
    <w:rsid w:val="004319AD"/>
    <w:rsid w:val="004C5797"/>
    <w:rsid w:val="00670D3A"/>
    <w:rsid w:val="008D4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FCD4"/>
  <w15:docId w15:val="{A3B90612-139E-425A-8C53-3CAECAF8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fffbf29-92e7-40a6-a1a7-76d2a1fe9820}" enabled="1" method="Privileged" siteId="{a99a1e61-d69c-4458-9bca-b9857e258772}"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 Mani C</cp:lastModifiedBy>
  <cp:revision>2</cp:revision>
  <dcterms:created xsi:type="dcterms:W3CDTF">2026-07-19T17:09:00Z</dcterms:created>
  <dcterms:modified xsi:type="dcterms:W3CDTF">2026-07-19T17:09:00Z</dcterms:modified>
</cp:coreProperties>
</file>