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Sample parcel terms (written for the Meridian demo, not a real courier's terms)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Courier: DPD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These terms apply to parcels the shop hands over to the courier.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Express parcels to postcodes starting with 10 are handled by DPD Express.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Standard parcels to postcodes starting with 12 are handled by DPD Classic.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If volume exceeds 500 parcels a week, postcodes starting with 14 move to DPD Express.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Liability for loss or damage is limited to 1 SDR per kilogram.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Hidden damage must be reported within 3 days of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Claims expire after 6 months.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