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 Design Spec – Risk Vault Engine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Product: Risk Vault Engine (Audit ZIP Generator for CBAM Filing)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Filentra Founder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2025-06-23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Risk Vault Engine consolidates all audit-relevant artifacts from a CBAM declarant’s quarterly report—spanning supplier fallback memos, XML schema filings, verifier readiness, and outreach logs—into a secure, compliant ZIP bundle per declarant per filing. This serves as a compliance audit record under Article 6 of the EU CBAM Regulation.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INPUT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Trigger requires all of the following: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cbam_report.xml (from Express Fix)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cbam_audit.pdf (QC output from Default Audit Engine)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supplier_effort_log.pdf (from Sprint Pack)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default_memo.pdf (optional fallback memo)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verifier_precheck.pdf (optional; generated if available)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 Inputs: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Declarant EORI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Quarter + Year of filing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Declarant-specific storage bucket via UploadThing/Supabase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OUTPUT STRUCTURE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ZIP Bundle: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/cbam_report.xml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/cbam_audit.pdf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/supplier_effort_log.pdf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/default_memo.pdf (if generated)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/verifier_precheck.pdf (if generated)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/README.md → Metadata manifest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README.md Contents: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Declarant EORI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Filing Quarter + Year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SHA256 hash of ZIP contents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Timestamp of generation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Missing optional files noted explicitly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Filename Convention: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CBAM_AuditBundle_{EORI}_{YYYY}_Q{N}_v1.zip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CORE MODULES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4.1 Bundle Trigger: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Triggered once Express Fix XML + QC PDF + Log PDF exist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UI switch also allows regeneration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Version counter appended if multiple ZIPs generated for same quarter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4.2 File Fetcher: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Pulls files from product-specific buckets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Confirms file presence, format, non-zero content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Skips optional PDFs with warning flag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4.3 Hashing &amp; Integrity Check: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SHA256 ZIP checksum created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Logged to internal metadata registry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Matched during download integrity confirmation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4.4 GDPR Expiry Engine: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ZIPs deleted after 30 days unless downloaded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Download resets expiry timer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Audit log (vault_zip_created, vault_zip_downloaded, vault_zip_deleted)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4.5 ZIP Generator: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All valid files packed into bundle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README auto-generated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ZIP locked against re-bundling unless regenerated via 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NON-FUNCTIONAL REQUIREMENTS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5.1 GDPR Compliance: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No personal or emissions data persisted outside required artifacts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Supplier data anonymized in logs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Metadata-only logs retained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Hosted on EU servers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5.2 Redundancy Prevention: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Engine locks bundle after creation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Regeneration requires explicit flag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5.3 Audit Assurance: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Verifier checklist included when available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Manual override allowed to skip if file unavailable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6. API ENDPOINTS (INTERNAL)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POST /risk-vault/trigger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GET /risk-vault/download/{eori}/{quarter}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GET /risk-vault/status/{eori}/{quarter}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DELETE /risk-vault/expire-old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 ANALYTICS EVENTS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vault_zip_created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vault_zip_downloaded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vault_zip_deleted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Metrics Captured: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Time to bundle (ms)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Storage consumed (MB)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Regenerations (count)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8. EDGE CASES HANDLED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Missing optional files → noted in README, bundle proceeds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Duplicate ZIP for same quarter → versioned ZIP 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Declarant downloads but loses ZIP → allow re-trigger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Manual upload by declarant → log mismatch notice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9. STORAGE &amp; SECURITY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EU-based ZIP hosting (UploadThing, S3 EU-West)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ZIPs auto-deleted after 30d (unless accessed)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Only metadata logs stored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Optional encryption-at-rest via S3 policies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10. DEPENDENCIES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CBAM Express Fix output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Default Audit PDF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Supplier Sprint Log + Default Memo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Verifier Readiness Export (future-ready)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UploadThing, Supabase, or AWS S3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11. OWNER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Product Owner: Filentra Founder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Engineering Integration: TBD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Legal/GDPR: Confirmed compliant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