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 Design Spec – Supplier AI Agent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Product: Supplier AI Agent (Multilingual Outreach &amp; Logging System)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Version: v1.0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Prepared By: Filentra Founder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2025-06-23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PURPOSE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Supplier AI Agent is a multilingual, GDPR-compliant outreach engine designed to automate supplier contact across EU and third-country jurisdictions. It is triggered by the Sprint Pack or Concierge workflows and executes email/call cadences while logging all contact attempts in metadata form for auditability.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INPUT STRUCTURE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Required Inputs: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Supplier list (name, email, country, CN code, language preference [optional])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Declarant metadata (EORI, quarter, fallback use flag)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Trigger source: Sprint Pack or Concierge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Structure: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Format: XLS or JSON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Required Fields: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supplier_name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supplier_email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country_code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preferred_language (optional)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cn_code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declarant_eori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fallback_flag (Y/N)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OUTPUT STRUCTURE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Generated Files: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PDF Effort Log: Timestamps, email status, call attempts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Status JSON: supplier_id, contact_status, response_flag, audit_required_flag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Optional: ZIP inclusion into Risk Vault or Concierge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Logging Rules: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Only metadata retained (language, timestamp, method, result)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Response emails NOT stored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OUTREACH LOGIC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4.1 Language Selection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Uses country code → language map fallback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DeepL or RelevanceAI API for translation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Formal CBAM-compliant template adapted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4.2 Cadence Schedule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Day 0: Email #1 → introduction + data request + form link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Day 1: Voice Call #1 (optional)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Day 2: Email #2 → reminder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Day 3: Voice Call #2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Day 4: Email #3 → final notice + audit clause warning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4.3 Message Elements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All emails include: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Why emissions data is needed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Submission deadline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Response form link (UploadThing, Tella, XLS)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GDPR clause &amp; deletion notice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Declarant ID and CN code list (optional)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5. FUNCTIONAL MODULES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5.1 Language Engine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Maps supplier country to language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Translates using DeepL API or pre-approved template bank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5.2 Delivery Core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Sends multilingual emails via transactional email infra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Logs: sent_at, delivery_status, bounce_status, opened_at (if available)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Retry if bounce or no open within 48h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5.3 Metadata Logger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Writes to internal log file: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supplier_email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language_sent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status (sent, bounced, ignored)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last_contact_attempt_at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fallback_required_flag (if no response in 5d)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Generates log in CSV + PDF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5.4 Escalation Tagger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If no reply in 5d → auto-flag for Default Memo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Pushes signal into Sprint Pack or Concierge flows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5.5 Dashboard Hook (Internal)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Activity log UI for ops team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Manual override: "Trigger human follow-up"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6. NON-FUNCTIONAL REQUIREMENTS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GDPR: No body storage; metadata only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Logs auto-delete after 30 days unless client export requested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EU-only data storage zones (S3, Supabase, UploadThing)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Max 300 outbound per domain/day (spam prevention)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High-availability required during Jan–Feb peak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SLA: 99.5% delivery uptime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7. UI/UX NOTES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Internal-only dashboard view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Display: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Supplier name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Language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# of attempts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Status (Pending, Responded, Escalated)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Default Memo Flag (Y/N)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Button: “Retry Now” or “Override to Human Chase”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8. ANALYTICS &amp; EVENTS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PostHog Events: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agent_email_sent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agent_email_failed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agent_supplier_nonresponse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agent_flag_default_required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agent_filed_to_riskvault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Funnel: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Triggered → Sent → Opened → Responded → Logged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9. EDGE CASES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Invalid email → bounce and escalate to manual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Country not in lang map → default to English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No response → fallback flag + auto memo trigger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Early reply → cancel future cadences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10. DEPENDENCIES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DeepL API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RelevanceAI or n8n (flow logic)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UploadThing/Tella (data intake)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PostHog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PDFKit (log generation)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Concierge / Sprint Pack (trigger source)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11. OWNER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Product Owner: Filentra Founder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Integration: Ops + Growth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Legal: Metadata retention only – Approved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