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ACL 2027 Research Charter</w:t>
      </w:r>
    </w:p>
    <w:p>
      <w:pPr>
        <w:pStyle w:val="Subtitle"/>
      </w:pPr>
      <w:r>
        <w:t>Joint Temporal State Induction for Evidence Grounded Question Answering</w:t>
        <w:br/>
        <w:t>1 October 2026</w:t>
      </w:r>
    </w:p>
    <w:p>
      <w:r>
        <w:rPr>
          <w:b w:val="0"/>
        </w:rPr>
      </w:r>
      <w:r>
        <w:rPr>
          <w:b/>
        </w:rPr>
        <w:t>Decision.</w:t>
      </w:r>
      <w:r>
        <w:rPr>
          <w:b w:val="0"/>
        </w:rPr>
        <w:t xml:space="preserve"> Rework WikiGraphRAG around joint inference of factual identity and temporal updates from natural language. The central question is whether deciding which fact a statement concerns together with how it revises that fact produces better evidence-supported histories than a strong extraction and timeline pipeline. This is the selected research route; the October pilot determines whether the algorithmic claim survives.</w:t>
      </w:r>
    </w:p>
    <w:p>
      <w:pPr>
        <w:pStyle w:val="Heading2"/>
      </w:pPr>
      <w:r>
        <w:t>The paper we are trying to establish</w:t>
      </w:r>
    </w:p>
    <w:p>
      <w:r>
        <w:rPr>
          <w:b w:val="0"/>
        </w:rPr>
        <w:t>Documents can repeat an existing fact, announce a future change, describe an earlier event, or correct a previous report. Factual identity and temporal interpretation can constrain each other: a phrase such as “succeeding Alice” may identify which organization an ambiguous name refers to. We will test a decoder that uses this interaction to reconstruct supported state episodes and answer current and historical questions with source evidence.</w:t>
      </w:r>
    </w:p>
    <w:p>
      <w:r>
        <w:rPr>
          <w:b w:val="0"/>
        </w:rPr>
      </w:r>
      <w:r>
        <w:rPr>
          <w:b/>
        </w:rPr>
        <w:t>Working title:</w:t>
      </w:r>
      <w:r>
        <w:rPr>
          <w:b w:val="0"/>
        </w:rPr>
        <w:t xml:space="preserve"> Joint Temporal State Induction for Evidence Grounded Question Answering. The target is an ACL 2027 long paper. The proposed contribution is conditional on experimental results; no new performance results are claimed in this charter.</w:t>
      </w:r>
    </w:p>
    <w:tbl>
      <w:tblPr>
        <w:tblW w:type="auto" w:w="0"/>
        <w:jc w:val="center"/>
        <w:tblLayout w:type="fixed"/>
        <w:tblLook w:firstColumn="1" w:firstRow="1" w:lastColumn="0" w:lastRow="0" w:noHBand="0" w:noVBand="1" w:val="04A0"/>
      </w:tblPr>
      <w:tblGrid>
        <w:gridCol w:w="3341"/>
        <w:gridCol w:w="6739"/>
      </w:tblGrid>
      <w:tr>
        <w:trPr>
          <w:cantSplit/>
          <w:tblHeader/>
        </w:trPr>
        <w:tc>
          <w:tcPr>
            <w:tcW w:type="dxa" w:w="334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Planned contribution</w:t>
            </w:r>
          </w:p>
        </w:tc>
        <w:tc>
          <w:tcPr>
            <w:tcW w:type="dxa" w:w="6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Evidence required</w:t>
            </w:r>
          </w:p>
        </w:tc>
      </w:tr>
      <w:tr>
        <w:trPr>
          <w:cantSplit/>
        </w:trPr>
        <w:tc>
          <w:tcPr>
            <w:tcW w:type="dxa" w:w="334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Joint identity and update inference</w:t>
            </w:r>
          </w:p>
        </w:tc>
        <w:tc>
          <w:tcPr>
            <w:tcW w:type="dxa" w:w="6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Improvement over independent and iterative pipelines using the same extracted candidates, pair scores and evidence.</w:t>
            </w:r>
          </w:p>
        </w:tc>
      </w:tr>
      <w:tr>
        <w:trPr>
          <w:cantSplit/>
        </w:trPr>
        <w:tc>
          <w:tcPr>
            <w:tcW w:type="dxa" w:w="334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 natural document history evaluation</w:t>
            </w:r>
          </w:p>
        </w:tc>
        <w:tc>
          <w:tcPr>
            <w:tcW w:type="dxa" w:w="6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Recoverable source versions, event and availability times, independently adjudicated answers, and held-out entity histories.</w:t>
            </w:r>
          </w:p>
        </w:tc>
      </w:tr>
      <w:tr>
        <w:trPr>
          <w:cantSplit/>
        </w:trPr>
        <w:tc>
          <w:tcPr>
            <w:tcW w:type="dxa" w:w="334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An explanatory empirical result</w:t>
            </w:r>
          </w:p>
        </w:tc>
        <w:tc>
          <w:tcPr>
            <w:tcW w:type="dxa" w:w="6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Show when identity ambiguity and update ambiguity interact, and quantify both benefits and failures at matched retrieval budgets.</w:t>
            </w:r>
          </w:p>
        </w:tc>
      </w:tr>
    </w:tbl>
    <w:p>
      <w:pPr>
        <w:spacing w:after="0"/>
      </w:pPr>
    </w:p>
    <w:p>
      <w:pPr>
        <w:pStyle w:val="Heading2"/>
      </w:pPr>
      <w:r>
        <w:t>Why this route has the strongest case</w:t>
      </w:r>
    </w:p>
    <w:p>
      <w:r>
        <w:rPr>
          <w:b w:val="0"/>
        </w:rPr>
        <w:t>It addresses the audited grouping and timeline failures while making language interpretation the research problem. Recency arbitration already appears in Re³ [2]; temporal memory and history maintenance appear in Zep and MemStrata [3,4]; global temporal constraints are established [5]. Our candidate advance is the measurable benefit of coupling identity and update interpretation. The graph representation, dual timestamps and source-prefix control are supporting design choices.</w:t>
      </w:r>
    </w:p>
    <w:p>
      <w:r>
        <w:rPr>
          <w:b w:val="0"/>
        </w:rPr>
        <w:t xml:space="preserve">The official ACL 2027 call gives </w:t>
      </w:r>
      <w:r>
        <w:rPr>
          <w:b/>
        </w:rPr>
        <w:t>4 January 2027, 11:59 PM UTC−12</w:t>
      </w:r>
      <w:r>
        <w:rPr>
          <w:b w:val="0"/>
        </w:rPr>
        <w:t>, as the ARR deadline for long and short papers [1]. We will target a complete eight-page long-paper draft by 18 December. The later ACL commitment date is not yet published.</w:t>
      </w:r>
    </w:p>
    <w:p>
      <w:pPr>
        <w:pStyle w:val="Heading1"/>
        <w:pageBreakBefore/>
      </w:pPr>
      <w:r>
        <w:t>Minimum method and novelty test</w:t>
      </w:r>
    </w:p>
    <w:p>
      <w:r>
        <w:rPr>
          <w:b w:val="0"/>
        </w:rPr>
      </w:r>
      <w:r>
        <w:rPr>
          <w:b/>
        </w:rPr>
        <w:t>Scope.</w:t>
      </w:r>
      <w:r>
        <w:rPr>
          <w:b w:val="0"/>
        </w:rPr>
        <w:t xml:space="preserve"> Start with English text and explicitly single-valued facts after scope is specified. Initial candidate domains are organizational leadership and product lifecycle status; the source pilot must establish usable histories before either becomes a dataset commitment. Cover current and explicit as-of questions, repeated statements, future-effective changes, reversions and explicit corrections of a value or date. Preserve unresolved disagreement.</w:t>
      </w:r>
    </w:p>
    <w:p>
      <w:pPr>
        <w:pStyle w:val="Heading2"/>
      </w:pPr>
      <w:r>
        <w:t>One implementable architecture</w:t>
      </w:r>
    </w:p>
    <w:p>
      <w:pPr>
        <w:ind w:left="173" w:hanging="173"/>
      </w:pPr>
      <w:r>
        <w:rPr>
          <w:b w:val="0"/>
        </w:rPr>
        <w:t xml:space="preserve">1. </w:t>
      </w:r>
      <w:r>
        <w:rPr>
          <w:b/>
        </w:rPr>
        <w:t>Shared extraction.</w:t>
      </w:r>
      <w:r>
        <w:rPr>
          <w:b w:val="0"/>
        </w:rPr>
        <w:t xml:space="preserve"> From each permitted document prefix, extract assertion spans, alternative subject identities, relation and scope, value candidates, temporal expressions, predecessor phrases and correction references. Keep unknown dates unknown. Candidate entities come from source text and retrieval, never evaluation annotations.</w:t>
      </w:r>
    </w:p>
    <w:p>
      <w:pPr>
        <w:ind w:left="173" w:hanging="173"/>
      </w:pPr>
      <w:r>
        <w:rPr>
          <w:b w:val="0"/>
        </w:rPr>
        <w:t xml:space="preserve">2. </w:t>
      </w:r>
      <w:r>
        <w:rPr>
          <w:b/>
        </w:rPr>
        <w:t>Sparse scoring.</w:t>
      </w:r>
      <w:r>
        <w:rPr>
          <w:b w:val="0"/>
        </w:rPr>
        <w:t xml:space="preserve"> Build candidate links using names, relation words, predecessor names and report references. Score identity compatibility and update relations with one frozen contextual scorer for the pilot. Train a compact scorer only after the pilot establishes a useful signal.</w:t>
      </w:r>
    </w:p>
    <w:p>
      <w:pPr>
        <w:ind w:left="173" w:hanging="173"/>
      </w:pPr>
      <w:r>
        <w:rPr>
          <w:b w:val="0"/>
        </w:rPr>
        <w:t xml:space="preserve">3. </w:t>
      </w:r>
      <w:r>
        <w:rPr>
          <w:b/>
        </w:rPr>
        <w:t>Joint decoding.</w:t>
      </w:r>
      <w:r>
        <w:rPr>
          <w:b w:val="0"/>
        </w:rPr>
        <w:t xml:space="preserve"> Select identity candidates and typed assertion links together to maximize their scores minus penalties for incompatible interpretations. Use a small-component integer program with bounded candidates and a runtime cap. Report timeout rates and use a documented deterministic fallback. The shared-score pipeline receives exactly these candidates and scores.</w:t>
      </w:r>
    </w:p>
    <w:p>
      <w:pPr>
        <w:ind w:left="173" w:hanging="173"/>
      </w:pPr>
      <w:r>
        <w:rPr>
          <w:b w:val="0"/>
        </w:rPr>
        <w:t xml:space="preserve">4. </w:t>
      </w:r>
      <w:r>
        <w:rPr>
          <w:b/>
        </w:rPr>
        <w:t>Episode construction.</w:t>
      </w:r>
      <w:r>
        <w:rPr>
          <w:b w:val="0"/>
        </w:rPr>
        <w:t xml:space="preserve"> RESTATES attaches evidence to an existing episode; CHANGES creates a new episode at a supported boundary; CORRECTS revises the interpretation of a cited earlier assertion. Correction alone does not create a real-world transition. A return to an earlier value creates another episode.</w:t>
      </w:r>
    </w:p>
    <w:p>
      <w:pPr>
        <w:ind w:left="173" w:hanging="173"/>
      </w:pPr>
      <w:r>
        <w:rPr>
          <w:b w:val="0"/>
        </w:rPr>
        <w:t xml:space="preserve">5. </w:t>
      </w:r>
      <w:r>
        <w:rPr>
          <w:b/>
        </w:rPr>
        <w:t>Evidence retrieval.</w:t>
      </w:r>
      <w:r>
        <w:rPr>
          <w:b w:val="0"/>
        </w:rPr>
        <w:t xml:space="preserve"> Route natural-language questions to predicted factual keys, select states for the requested time and retrieve their source spans. When competing interpretations imply different answers, retain the conflicting evidence and allow a justified indeterminate answer. Tune this rule on development data.</w:t>
      </w:r>
    </w:p>
    <w:p>
      <w:r>
        <w:rPr>
          <w:b w:val="0"/>
        </w:rPr>
        <w:t>Keep update links separate from reporting time: a retrospective report can describe a genuine change. Explicit corrections of the wrong entity or scope, multiple simultaneous holders, and unsupported correction targets remain unresolved in the minimum method. Do not treat ordinary disagreement as a correction.</w:t>
      </w:r>
    </w:p>
    <w:p>
      <w:pPr>
        <w:pStyle w:val="Heading2"/>
      </w:pPr>
      <w:r>
        <w:t>Constraints and uncertainty</w:t>
      </w:r>
    </w:p>
    <w:p>
      <w:r>
        <w:rPr>
          <w:b w:val="0"/>
        </w:rPr>
        <w:t>Hard constraints govern the selected representation: one identity per resolved assertion, compatible keys for accepted update links, one value per resolved episode, and ordered selected interval endpoints. Extracted dates and aliases remain scored alternatives. Conflicting source assertions may coexist outside the resolved trajectory; a consistency constraint must not silently invent a different entity to erase disagreement.</w:t>
      </w:r>
    </w:p>
    <w:p>
      <w:pPr>
        <w:pStyle w:val="Heading2"/>
      </w:pPr>
      <w:r>
        <w:t>Constructed diagnostic example</w:t>
      </w:r>
    </w:p>
    <w:p>
      <w:r>
        <w:rPr>
          <w:b w:val="0"/>
        </w:rPr>
        <w:t>Orion Labs is led by Alice; Orion Holdings is led by Carol. A later document says “Orion appointed Bob, effective 15 January, succeeding Alice.” A local identity score may prefer Holdings. Joint decoding can use the predecessor link to select Labs. A capable contextual or iterative linker may also solve this example, so those are required baselines. The example illustrates the mechanism and is not empirical evidence.</w:t>
      </w:r>
    </w:p>
    <w:p>
      <w:pPr>
        <w:pStyle w:val="Heading1"/>
        <w:pageBreakBefore/>
      </w:pPr>
      <w:r>
        <w:t>Natural data pilot and annotation contract</w:t>
      </w:r>
    </w:p>
    <w:p>
      <w:r>
        <w:rPr>
          <w:b w:val="0"/>
        </w:rPr>
      </w:r>
      <w:r>
        <w:rPr>
          <w:b/>
        </w:rPr>
        <w:t>First milestone.</w:t>
      </w:r>
      <w:r>
        <w:rPr>
          <w:b w:val="0"/>
        </w:rPr>
        <w:t xml:space="preserve"> Recover and double-annotate approximately 20 independent histories by 15 October, expanding to 60–80 pilot histories by 31 October if annotation throughput permits. These are development material. Do not use them as the final held-out test set.</w:t>
      </w:r>
    </w:p>
    <w:p>
      <w:pPr>
        <w:pStyle w:val="Heading2"/>
      </w:pPr>
      <w:r>
        <w:t>Sampling design</w:t>
      </w:r>
    </w:p>
    <w:p>
      <w:r>
        <w:rPr>
          <w:b w:val="0"/>
        </w:rPr>
        <w:t>Freeze a public sampling frame and a random seed before inspecting system failures. Record included and excluded entities and reasons. Retain unchanged histories and difficult or indeterminate prefixes. Require recoverable document versions: an editable page carrying an old date does not establish what text was available then.</w:t>
      </w:r>
    </w:p>
    <w:p>
      <w:r>
        <w:rPr>
          <w:b w:val="0"/>
        </w:rPr>
        <w:t>Maintain a separate, deliberately enriched challenge slice for natural corrections, ambiguous names, delayed reports and future-effective announcements. Report it separately from the sampled main set. Synthetic edits can test invariance and sensitivity, but cannot establish how frequent these problems are in natural text.</w:t>
      </w:r>
    </w:p>
    <w:p>
      <w:r>
        <w:rPr>
          <w:b w:val="0"/>
        </w:rPr>
        <w:t xml:space="preserve">The planning target is approximately </w:t>
      </w:r>
      <w:r>
        <w:rPr>
          <w:b/>
        </w:rPr>
        <w:t>300 independent histories</w:t>
      </w:r>
      <w:r>
        <w:rPr>
          <w:b w:val="0"/>
        </w:rPr>
        <w:t>, with 6–12 documents or versions and 3–5 questions per history where evidence permits. A provisional split is 100 training, 50 development and 150 untouched test histories. Final counts must follow measured annotation cost and uncertainty estimates. Group related entities, copied reports and all prefixes together to prevent cross-split leakage.</w:t>
      </w:r>
    </w:p>
    <w:tbl>
      <w:tblPr>
        <w:tblW w:type="auto" w:w="0"/>
        <w:jc w:val="center"/>
        <w:tblLayout w:type="fixed"/>
        <w:tblLook w:firstColumn="1" w:firstRow="1" w:lastColumn="0" w:lastRow="0" w:noHBand="0" w:noVBand="1" w:val="04A0"/>
      </w:tblPr>
      <w:tblGrid>
        <w:gridCol w:w="1987"/>
        <w:gridCol w:w="8093"/>
      </w:tblGrid>
      <w:tr>
        <w:trPr>
          <w:cantSplit/>
          <w:tblHeader/>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Annotation object</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Required fields</w:t>
            </w:r>
          </w:p>
        </w:tc>
      </w:tr>
      <w:tr>
        <w:trPr>
          <w:cantSplit/>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Source document</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Stable version ID, URL, exact text, content hash, verified availability time and how that time was established.</w:t>
            </w:r>
          </w:p>
        </w:tc>
      </w:tr>
      <w:tr>
        <w:trPr>
          <w:cantSplit/>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Assertion</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Supporting span; subject, relation, scope and value candidates; assertion status; effective-time expression and normalized bounds, including unknowns.</w:t>
            </w:r>
          </w:p>
        </w:tc>
      </w:tr>
      <w:tr>
        <w:trPr>
          <w:cantSplit/>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Assertion links</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Restatement, transition or explicit correction target; supporting language; unresolved alternatives and conflicts.</w:t>
            </w:r>
          </w:p>
        </w:tc>
      </w:tr>
      <w:tr>
        <w:trPr>
          <w:cantSplit/>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Question</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Natural-language wording, event time, information cutoff, determinate or indeterminate status, accepted answer set and supporting spans.</w:t>
            </w:r>
          </w:p>
        </w:tc>
      </w:tr>
      <w:tr>
        <w:trPr>
          <w:cantSplit/>
        </w:trPr>
        <w:tc>
          <w:tcPr>
            <w:tcW w:type="dxa" w:w="19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Adjudication</w:t>
            </w:r>
          </w:p>
        </w:tc>
        <w:tc>
          <w:tcPr>
            <w:tcW w:type="dxa" w:w="809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Independent labels, disagreement category, adjudicated decision and annotation minutes. Record ambiguity instead of forcing agreement.</w:t>
            </w:r>
          </w:p>
        </w:tc>
      </w:tr>
    </w:tbl>
    <w:p>
      <w:pPr>
        <w:spacing w:after="0"/>
      </w:pPr>
    </w:p>
    <w:p>
      <w:pPr>
        <w:pStyle w:val="Heading2"/>
      </w:pPr>
      <w:r>
        <w:t>Two clocks and two kinds of answer</w:t>
      </w:r>
    </w:p>
    <w:p>
      <w:r>
        <w:rPr>
          <w:b w:val="0"/>
        </w:rPr>
        <w:t>Each query fixes an event time and an information cutoff. Rebuild the entire memory using only documents verified available by that cutoff. Future documents must not influence aliases, identity groups, interval endpoints or summaries. Prefix-specific gold describes what those sources support; a later correction may change the supported answer about the same earlier event time.</w:t>
      </w:r>
    </w:p>
    <w:p>
      <w:r>
        <w:rPr>
          <w:b w:val="0"/>
        </w:rPr>
        <w:t>The main result concerns evidence-supported answers, not an unrestricted claim to know historical truth. Source-prefix controls also do not remove future knowledge from pretrained model weights. Require supporting citations and include a closed-book diagnostic to assess that remaining source of information.</w:t>
      </w:r>
    </w:p>
    <w:p>
      <w:pPr>
        <w:pStyle w:val="Heading2"/>
      </w:pPr>
      <w:r>
        <w:t>Human validation</w:t>
      </w:r>
    </w:p>
    <w:p>
      <w:r>
        <w:rPr>
          <w:b w:val="0"/>
        </w:rPr>
        <w:t>Double-annotate all pilot histories and a random portion of the expanded corpus. Report agreement separately for identity links, update types, temporal bounds and answerability. Annotators adjudicating an early prefix must not consult its later documents. Log throughput before committing to a larger corpus or model-training effort.</w:t>
      </w:r>
    </w:p>
    <w:p>
      <w:pPr>
        <w:pStyle w:val="Heading1"/>
        <w:pageBreakBefore/>
      </w:pPr>
      <w:r>
        <w:t>Experiments that can support the claim</w:t>
      </w:r>
    </w:p>
    <w:p>
      <w:r>
        <w:rPr>
          <w:b w:val="0"/>
        </w:rPr>
        <w:t>Compare end-to-end systems on identical raw sources and questions. Separately isolate the method using identical predicted assertions, candidate links and pair scores. Hold the reader and retrieval budgets fixed for inference-policy comparisons. Count extra model calls and indexing costs.</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Comparison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Question it answers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Hybrid retrieval with a fixed reader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Does structured state add value over giving the reader dated passages?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Newest predicted key and corrected episodes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Can simple grouping, effective dates and restatement handling explain the gain?</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Strong contextual extractor plus rules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Is the benefit only better upstream extraction? Give this baseline predecessor and correction cues.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Independent and iterative shared-score pipelines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Does joint decoding help after a pipeline is allowed to revisit identity decisions? This is the primary attribution test.</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Listwise temporal resolver and state consolidator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Can a strong prompted model solve the task directly at comparable cost? Include both batch and prefix update settings.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Closest temporal research systems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Compare Re³ and a temporal-memory implementation; use effective-time reranking [6] for the relevant historical setting. Label adaptations and reproduction limits.</w:t>
            </w:r>
          </w:p>
        </w:tc>
      </w:tr>
    </w:tbl>
    <w:p>
      <w:pPr>
        <w:spacing w:after="0"/>
      </w:pPr>
    </w:p>
    <w:p>
      <w:pPr>
        <w:pStyle w:val="Heading2"/>
      </w:pPr>
      <w:r>
        <w:t>Primary outcome</w:t>
      </w:r>
    </w:p>
    <w:p>
      <w:r>
        <w:rPr>
          <w:b w:val="0"/>
        </w:rPr>
        <w:t xml:space="preserve">Measure </w:t>
      </w:r>
      <w:r>
        <w:rPr>
          <w:b/>
        </w:rPr>
        <w:t>grounded temporal answer accuracy</w:t>
      </w:r>
      <w:r>
        <w:rPr>
          <w:b w:val="0"/>
        </w:rPr>
        <w:t xml:space="preserve"> over all questions: the answer must match the adjudicated entity or value set for the requested prefix and have sufficient valid source support. Abstention on an answerable query is incorrect. An explicitly justified indeterminate answer can be correct when the prefix does not support a unique state. Report these two groups separately as well as their aggregate.</w:t>
      </w:r>
    </w:p>
    <w:p>
      <w:r>
        <w:rPr>
          <w:b w:val="0"/>
        </w:rPr>
        <w:t>Use accepted aliases and set-aware matching, not substring or partial-name matches. Validate citations against the permitted prefix. Enumerate alternative valid support where practical; adjudicate unmatched plausible support without exposing system identity. Avoid treating one annotated citation set as the only legitimate explanation.</w:t>
      </w:r>
    </w:p>
    <w:p>
      <w:pPr>
        <w:pStyle w:val="Heading2"/>
      </w:pPr>
      <w:r>
        <w:t>Mechanism and cost analysis</w:t>
      </w:r>
    </w:p>
    <w:p>
      <w:r>
        <w:rPr>
          <w:b w:val="0"/>
        </w:rPr>
        <w:t>Report identity merges and splits, update errors, state and interval-bound errors where identifiable, valid-evidence recall, and false removal of the last annotated sufficient support set. Label that last metric as annotation-dependent. Account for context tokens, extraction, indexing, queries and updates in cost and latency reporting.</w:t>
      </w:r>
    </w:p>
    <w:p>
      <w:r>
        <w:rPr>
          <w:b w:val="0"/>
        </w:rPr>
        <w:t>Cross identity ambiguity with temporal or discourse ambiguity in the analysis. Ablate joint coupling, temporal penalties and predecessor/correction cues. Add matched interventions: duplicate restatements should preserve a state; a genuine effective-date change should alter it. Clean histories must remain in the evaluation so robustness is not rewarded only on selected hard cases.</w:t>
      </w:r>
    </w:p>
    <w:p>
      <w:pPr>
        <w:pStyle w:val="Heading2"/>
      </w:pPr>
      <w:r>
        <w:t>Statistical discipline</w:t>
      </w:r>
    </w:p>
    <w:p>
      <w:r>
        <w:rPr>
          <w:b w:val="0"/>
        </w:rPr>
        <w:t>Freeze the primary comparison before testing. Use paired, history-clustered confidence intervals: queries from one history are dependent. Determine test size from pilot variance and a predeclared useful effect. Report uncertainty and all prespecified slices, including null or negative results.</w:t>
      </w:r>
    </w:p>
    <w:p>
      <w:pPr>
        <w:pStyle w:val="Heading1"/>
        <w:pageBreakBefore/>
      </w:pPr>
      <w:r>
        <w:t>Execution schedule and decision gates</w:t>
      </w:r>
    </w:p>
    <w:tbl>
      <w:tblPr>
        <w:tblW w:type="auto" w:w="0"/>
        <w:jc w:val="center"/>
        <w:tblLayout w:type="fixed"/>
        <w:tblLook w:firstColumn="1" w:firstRow="1" w:lastColumn="0" w:lastRow="0" w:noHBand="0" w:noVBand="1" w:val="04A0"/>
      </w:tblPr>
      <w:tblGrid>
        <w:gridCol w:w="2390"/>
        <w:gridCol w:w="7690"/>
      </w:tblGrid>
      <w:tr>
        <w:trPr>
          <w:cantSplit/>
          <w:tblHeader/>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Dates in 2026 unless noted</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Concrete deliverable and gate</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1–7 October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Repair historical routing and episode construction in an isolated rework; establish a shared-input harness and source manifest. All labels are scorer-only.</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8–15 October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Twenty adjudicated histories and the first strong-extractor, listwise and simple-episode baseline runs. Measure source availability and annotation effort.</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16–31 October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Complete 60–80 pilot histories where feasible; implement the joint decoder and matched independent/iterative baselines. Decide whether to continue the method claim.</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1–20 November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Expand natural histories, freeze schema and splits, train only the necessary scorer, and complete external baseline reproduction or clearly labeled adaptation.</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21 November–7 December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Freeze method selection, run the untouched test evaluation, clustered uncertainty estimates, mechanism ablations and cost measurements.</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8–18 December</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Write and review a complete eight-page manuscript with traceable tables, limitations, related work and supplementary evidence.</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19 December–3 January</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Independent reproducibility check, repair material issues, finalize anonymized artifacts and submission requirements.</w:t>
            </w:r>
          </w:p>
        </w:tc>
      </w:tr>
      <w:tr>
        <w:trPr>
          <w:cantSplit/>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4 January 2027</w:t>
            </w:r>
          </w:p>
        </w:tc>
        <w:tc>
          <w:tcPr>
            <w:tcW w:type="dxa" w:w="7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ARR submission deadline, 11:59 PM UTC−12. Submit earlier where possible; ACL commitment follows the published process [1].</w:t>
            </w:r>
          </w:p>
        </w:tc>
      </w:tr>
    </w:tbl>
    <w:p>
      <w:pPr>
        <w:spacing w:after="0"/>
      </w:pPr>
    </w:p>
    <w:p>
      <w:pPr>
        <w:pStyle w:val="Heading2"/>
      </w:pPr>
      <w:r>
        <w:t>The late October decision</w:t>
      </w:r>
    </w:p>
    <w:p>
      <w:r>
        <w:rPr>
          <w:b w:val="0"/>
        </w:rPr>
        <w:t>Continue the algorithmic route only if independently selected natural histories expose identifiable identity/update interaction errors; annotators can distinguish them reliably; and joint inference improves the accuracy–cost trade-off over both the strong extraction pipeline and the shared-score iterative baseline. Look for gains across more than one phenomenon and inspect every newly introduced failure. A small pilot supports a decision, not a definitive significance claim.</w:t>
      </w:r>
    </w:p>
    <w:p>
      <w:r>
        <w:rPr>
          <w:b w:val="0"/>
        </w:rPr>
        <w:t>If the simpler pipeline explains the improvements, retain it and narrow the paper to the empirical finding or resource contribution that the evidence supports. If corrections cannot be sourced or annotated reliably, remove correction-specific claims. Do not enlarge the model or add unrelated tasks to preserve an unsupported novelty claim.</w:t>
      </w:r>
    </w:p>
    <w:p>
      <w:pPr>
        <w:pStyle w:val="Heading2"/>
      </w:pPr>
      <w:r>
        <w:t>Scope control</w:t>
      </w:r>
    </w:p>
    <w:p>
      <w:r>
        <w:rPr>
          <w:b w:val="0"/>
        </w:rPr>
        <w:t>Keep multi-hop reasoning, general open-domain truth discovery, multilingual transfer, learned source reliability and formal risk calibration outside the core submission. A simple ambiguity rule is sufficient initially. Add a secondary experiment only after the central comparison succeeds and the manuscript has room to explain it.</w:t>
      </w:r>
    </w:p>
    <w:p>
      <w:pPr>
        <w:pStyle w:val="Heading2"/>
      </w:pPr>
      <w:r>
        <w:t>Feasibility assumption</w:t>
      </w:r>
    </w:p>
    <w:p>
      <w:r>
        <w:rPr>
          <w:b w:val="0"/>
        </w:rPr>
        <w:t>This schedule assumes development time, independent annotation capacity and access to at least one capable inference model. The first pilot must measure their actual cost. Reduce corpus breadth before sacrificing independent adjudication, strong baselines or a held-out test. The target date is verified; the staffing and compute capacity are not yet established.</w:t>
      </w:r>
    </w:p>
    <w:p>
      <w:pPr>
        <w:pStyle w:val="Heading1"/>
        <w:pageBreakBefore/>
      </w:pPr>
      <w:r>
        <w:t>First sprint specification and paper structure</w:t>
      </w:r>
    </w:p>
    <w:p>
      <w:pPr>
        <w:pStyle w:val="Heading2"/>
      </w:pPr>
      <w:r>
        <w:t>Repairs that precede any new result</w:t>
      </w:r>
    </w:p>
    <w:p>
      <w:pPr>
        <w:ind w:left="173" w:hanging="173"/>
      </w:pPr>
      <w:r>
        <w:rPr>
          <w:b w:val="0"/>
        </w:rPr>
      </w:r>
      <w:r>
        <w:rPr>
          <w:b/>
        </w:rPr>
        <w:t>Historical routing:</w:t>
      </w:r>
      <w:r>
        <w:rPr>
          <w:b w:val="0"/>
        </w:rPr>
        <w:t xml:space="preserve"> remove gold fact-group selection from evaluation. Every method receives the natural-language question and the same source access. Gold keys, values and intervals live only in the scoring layer.</w:t>
      </w:r>
    </w:p>
    <w:p>
      <w:pPr>
        <w:ind w:left="173" w:hanging="173"/>
      </w:pPr>
      <w:r>
        <w:rPr>
          <w:b w:val="0"/>
        </w:rPr>
      </w:r>
      <w:r>
        <w:rPr>
          <w:b/>
        </w:rPr>
        <w:t>Episode semantics:</w:t>
      </w:r>
      <w:r>
        <w:rPr>
          <w:b w:val="0"/>
        </w:rPr>
        <w:t xml:space="preserve"> add targeted regression fixtures for A → B → B and A → B → A. Repetition must preserve the first supported B boundary; returning to A must create a new episode. Use predicted values during inference.</w:t>
      </w:r>
    </w:p>
    <w:p>
      <w:pPr>
        <w:ind w:left="173" w:hanging="173"/>
      </w:pPr>
      <w:r>
        <w:rPr>
          <w:b w:val="0"/>
        </w:rPr>
      </w:r>
      <w:r>
        <w:rPr>
          <w:b/>
        </w:rPr>
        <w:t>Evaluation isolation:</w:t>
      </w:r>
      <w:r>
        <w:rPr>
          <w:b w:val="0"/>
        </w:rPr>
        <w:t xml:space="preserve"> store method inputs separately from annotations. Construct prefixes before indexing. Add fixtures for a late retrospective report, a future-effective announcement and a correction of an earlier effective date.</w:t>
      </w:r>
    </w:p>
    <w:p>
      <w:pPr>
        <w:ind w:left="173" w:hanging="173"/>
      </w:pPr>
      <w:r>
        <w:rPr>
          <w:b w:val="0"/>
        </w:rPr>
      </w:r>
      <w:r>
        <w:rPr>
          <w:b/>
        </w:rPr>
        <w:t>Fair comparisons:</w:t>
      </w:r>
      <w:r>
        <w:rPr>
          <w:b w:val="0"/>
        </w:rPr>
        <w:t xml:space="preserve"> cross the same hybrid retrieval score with no temporal policy, newest-per-key, corrected episodes and joint inference. Restore strict entity/value matching and history-level uncertainty estimates.</w:t>
      </w:r>
    </w:p>
    <w:p>
      <w:pPr>
        <w:ind w:left="173" w:hanging="173"/>
      </w:pPr>
      <w:r>
        <w:rPr>
          <w:b w:val="0"/>
        </w:rPr>
      </w:r>
      <w:r>
        <w:rPr>
          <w:b/>
        </w:rPr>
        <w:t>Traceable outputs:</w:t>
      </w:r>
      <w:r>
        <w:rPr>
          <w:b w:val="0"/>
        </w:rPr>
        <w:t xml:space="preserve"> every run records the source manifest hash, split, prefix cutoff, model and prompt version, seed, predicted links, state episodes, answer evidence, runtime and cost. Preserve the submitted package as the audit reference.</w:t>
      </w:r>
    </w:p>
    <w:p>
      <w:pPr>
        <w:pStyle w:val="Heading2"/>
      </w:pPr>
      <w:r>
        <w:t>Manuscript argument</w:t>
      </w:r>
    </w:p>
    <w:p>
      <w:r>
        <w:rPr>
          <w:b w:val="0"/>
        </w:rPr>
        <w:t>The introduction will establish the identity/update interaction with natural examples. The method will define assertion candidates, joint decoding and deterministic episode semantics. The experimental section will lead with the same-score independent and iterative comparisons, followed by end-to-end QA and cost. Analysis will explain where coupling helps, where it damages the state, and what remains unresolved. An efficiency or generalization claim will appear only if measured.</w:t>
      </w:r>
    </w:p>
    <w:p>
      <w:pPr>
        <w:pStyle w:val="Heading2"/>
      </w:pPr>
      <w:r>
        <w:t>Primary sources for positioning and planning</w:t>
      </w:r>
    </w:p>
    <w:p>
      <w:pPr>
        <w:keepNext/>
        <w:spacing w:after="0"/>
      </w:pPr>
      <w:r>
        <w:rPr>
          <w:b w:val="0"/>
          <w:sz w:val="17"/>
        </w:rPr>
        <w:t>[1] ACL 2027 Call for Main Conference Papers. Accessed 1 October 2026.</w:t>
      </w:r>
    </w:p>
    <w:p>
      <w:pPr>
        <w:spacing w:after="80"/>
      </w:pPr>
      <w:r>
        <w:rPr>
          <w:b w:val="0"/>
          <w:sz w:val="17"/>
        </w:rPr>
        <w:t>https://2027.aclweb.org/calls/main/</w:t>
      </w:r>
    </w:p>
    <w:p>
      <w:pPr>
        <w:keepNext/>
        <w:spacing w:after="0"/>
      </w:pPr>
      <w:r>
        <w:rPr>
          <w:b w:val="0"/>
          <w:sz w:val="17"/>
        </w:rPr>
        <w:t>[2] Cao et al. Re³ Relevance and Recency Retrieval for Mitigating Temporal Hallucination. ACL 2026.</w:t>
      </w:r>
    </w:p>
    <w:p>
      <w:pPr>
        <w:spacing w:after="80"/>
      </w:pPr>
      <w:r>
        <w:rPr>
          <w:b w:val="0"/>
          <w:sz w:val="17"/>
        </w:rPr>
        <w:t>https://aclanthology.org/2026.acl-long.1180/</w:t>
      </w:r>
    </w:p>
    <w:p>
      <w:pPr>
        <w:keepNext/>
        <w:spacing w:after="0"/>
      </w:pPr>
      <w:r>
        <w:rPr>
          <w:b w:val="0"/>
          <w:sz w:val="17"/>
        </w:rPr>
        <w:t>[3] Rasmussen et al. Zep A Temporal Knowledge Graph Architecture for Agent Memory. 2025 preprint.</w:t>
      </w:r>
    </w:p>
    <w:p>
      <w:pPr>
        <w:spacing w:after="80"/>
      </w:pPr>
      <w:r>
        <w:rPr>
          <w:b w:val="0"/>
          <w:sz w:val="17"/>
        </w:rPr>
        <w:t>https://arxiv.org/abs/2501.13956</w:t>
      </w:r>
    </w:p>
    <w:p>
      <w:pPr>
        <w:keepNext/>
        <w:spacing w:after="0"/>
      </w:pPr>
      <w:r>
        <w:rPr>
          <w:b w:val="0"/>
          <w:sz w:val="17"/>
        </w:rPr>
        <w:t>[4] Temporal Validity in Retrieval Memory. MemStrata. June 2026 preprint.</w:t>
      </w:r>
    </w:p>
    <w:p>
      <w:pPr>
        <w:spacing w:after="80"/>
      </w:pPr>
      <w:r>
        <w:rPr>
          <w:b w:val="0"/>
          <w:sz w:val="17"/>
        </w:rPr>
        <w:t>https://arxiv.org/html/2606.26511v1</w:t>
      </w:r>
    </w:p>
    <w:p>
      <w:pPr>
        <w:keepNext/>
        <w:spacing w:after="0"/>
      </w:pPr>
      <w:r>
        <w:rPr>
          <w:b w:val="0"/>
          <w:sz w:val="17"/>
        </w:rPr>
        <w:t>[5] Eirew et al. Beyond Pairwise Global Zero shot Temporal Graph Generation. EMNLP 2025.</w:t>
      </w:r>
    </w:p>
    <w:p>
      <w:pPr>
        <w:spacing w:after="80"/>
      </w:pPr>
      <w:r>
        <w:rPr>
          <w:b w:val="0"/>
          <w:sz w:val="17"/>
        </w:rPr>
        <w:t>https://aclanthology.org/2025.emnlp-main.1601/</w:t>
      </w:r>
    </w:p>
    <w:p>
      <w:pPr>
        <w:keepNext/>
        <w:spacing w:after="0"/>
      </w:pPr>
      <w:r>
        <w:rPr>
          <w:b w:val="0"/>
          <w:sz w:val="17"/>
        </w:rPr>
        <w:t>[6] Nam et al. TimelyRAG Semantic Temporal Hybrid Retrieval for Time Critical Question Answering in Overlapping Evolving Documents. September 2026 preprint.</w:t>
      </w:r>
    </w:p>
    <w:p>
      <w:pPr>
        <w:spacing w:after="80"/>
      </w:pPr>
      <w:r>
        <w:rPr>
          <w:b w:val="0"/>
          <w:sz w:val="17"/>
        </w:rPr>
        <w:t>https://arxiv.org/html/2609.11572v1</w:t>
      </w:r>
    </w:p>
    <w:sectPr w:rsidR="00FC693F" w:rsidRPr="0006063C" w:rsidSect="00034616">
      <w:footerReference w:type="default" r:id="rId9"/>
      <w:pgSz w:w="12240" w:h="15840"/>
      <w:pgMar w:top="965"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 2027 Research Charter</dc:title>
  <dc:subject>Joint temporal state induction and research execution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