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Algorithmic Research Directions</w:t>
        <w:br/>
        <w:t>for Temporal RAG</w:t>
      </w:r>
    </w:p>
    <w:p>
      <w:pPr>
        <w:pStyle w:val="Subtitle"/>
      </w:pPr>
      <w:r>
        <w:t>Research plan for reworking WikiGraphRAG toward ACL 2027</w:t>
        <w:br/>
        <w:t>30 September 2026</w:t>
      </w:r>
    </w:p>
    <w:p>
      <w:r>
        <w:rPr>
          <w:b w:val="0"/>
        </w:rPr>
      </w:r>
      <w:r>
        <w:rPr>
          <w:b/>
        </w:rPr>
        <w:t>Recommendation.</w:t>
      </w:r>
      <w:r>
        <w:rPr>
          <w:b w:val="0"/>
        </w:rPr>
        <w:t xml:space="preserve"> Make the central problem reliable temporal state induction from natural language: deciding whether new evidence describes a replacement, a restatement, a correction, or unresolved disagreement. Use selective evidence retention to prevent uncertain inferences from deleting the only support for an answer. Establish the contribution on natural document histories and controlled interventions.</w:t>
      </w:r>
    </w:p>
    <w:p>
      <w:r>
        <w:rPr>
          <w:b w:val="0"/>
        </w:rPr>
        <w:t>Three viable paper directions emerge. They are alternatives with compatible components; implementing all three would create an unnecessarily broad project. The first has the strongest connection to the current parser and timeline failures. The second offers a precise decision objective. The third supports a substantial methodological study of historical reasoning.</w:t>
      </w:r>
    </w:p>
    <w:tbl>
      <w:tblPr>
        <w:tblW w:type="auto" w:w="0"/>
        <w:jc w:val="center"/>
        <w:tblLayout w:type="fixed"/>
        <w:tblLook w:firstColumn="1" w:firstRow="1" w:lastColumn="0" w:lastRow="0" w:noHBand="0" w:noVBand="1" w:val="04A0"/>
      </w:tblPr>
      <w:tblGrid>
        <w:gridCol w:w="2232"/>
        <w:gridCol w:w="6264"/>
        <w:gridCol w:w="1584"/>
      </w:tblGrid>
      <w:tr>
        <w:trPr>
          <w:cantSplit/>
          <w:tblHeader/>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Direction</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Central contribution to establish</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Priority</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Temporal state induction</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Joint inference of factual identity, update type and temporal episodes from noisy prose.</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Primary method</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Selective temporal retrieval</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Preserve at least one valid answer-support set while removing obsolete evidence.</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Decision layer or separate paper</w:t>
            </w:r>
          </w:p>
        </w:tc>
      </w:tr>
      <w:tr>
        <w:trPr>
          <w:cantSplit/>
        </w:trPr>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Correction-aware historical QA</w:t>
            </w:r>
          </w:p>
        </w:tc>
        <w:tc>
          <w:tcPr>
            <w:tcW w:type="dxa" w:w="626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Separate event time from evidence availability and test historical answers without future-derived memory.</w:t>
            </w:r>
          </w:p>
        </w:tc>
        <w:tc>
          <w:tcPr>
            <w:tcW w:type="dxa" w:w="158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Alternative method and benchmark</w:t>
            </w:r>
          </w:p>
        </w:tc>
      </w:tr>
    </w:tbl>
    <w:p>
      <w:pPr>
        <w:spacing w:after="0"/>
      </w:pPr>
    </w:p>
    <w:p>
      <w:pPr>
        <w:pStyle w:val="Heading2"/>
      </w:pPr>
      <w:r>
        <w:t>What the current evidence establishes</w:t>
      </w:r>
    </w:p>
    <w:p>
      <w:r>
        <w:rPr>
          <w:b w:val="0"/>
        </w:rPr>
        <w:t>The supplied code reproduces a restatement failure: A at 2000, B at 2001, and B at 2002 can yield a timeline that incorrectly retains A until 2002. Removing the changed-value gate produces identical current-retrieval masks on Wikidata and RealProse. Historical evaluation also routes lifecycle retrieval using a gold fact group. These findings require repairs and stronger baselines before new gains are interpreted.</w:t>
      </w:r>
    </w:p>
    <w:p>
      <w:pPr>
        <w:pStyle w:val="Heading2"/>
      </w:pPr>
      <w:r>
        <w:t>What remains a research hypothesis</w:t>
      </w:r>
    </w:p>
    <w:p>
      <w:r>
        <w:rPr>
          <w:b w:val="0"/>
        </w:rPr>
        <w:t>Joint inference may reduce false history merges and splits; selective retention may improve the accuracy, coverage and context-cost trade-off; correction semantics may handle cases that latest-per-key cannot. None of these improvements has been measured here. Proposed guarantees below require proofs and stated assumptions. No acceptance, novelty priority or performance gain is implied.</w:t>
      </w:r>
    </w:p>
    <w:p>
      <w:r>
        <w:rPr>
          <w:b w:val="0"/>
        </w:rPr>
        <w:t>The project can retain its inexpensive deterministic executor. A compact learned extractor or relation classifier should be added only when the experiment shows that language ambiguity is the bottleneck. The original zero-LLM rule should remain a strong baseline.</w:t>
      </w:r>
    </w:p>
    <w:p>
      <w:pPr>
        <w:pStyle w:val="Heading1"/>
        <w:pageBreakBefore/>
      </w:pPr>
      <w:r>
        <w:t>Prior work and the novelty boundary</w:t>
      </w:r>
    </w:p>
    <w:p>
      <w:r>
        <w:rPr>
          <w:b w:val="0"/>
        </w:rPr>
        <w:t>The field already contains most obvious extensions. The defensible contribution must be a specific capability, objective, or evaluation result beyond these mechanisms. Publication status below reflects the primary source inspected; an arXiv listing is treated as a preprint.</w:t>
      </w:r>
    </w:p>
    <w:tbl>
      <w:tblPr>
        <w:tblW w:type="auto" w:w="0"/>
        <w:jc w:val="center"/>
        <w:tblLayout w:type="fixed"/>
        <w:tblLook w:firstColumn="1" w:firstRow="1" w:lastColumn="0" w:lastRow="0" w:noHBand="0" w:noVBand="1" w:val="04A0"/>
      </w:tblPr>
      <w:tblGrid>
        <w:gridCol w:w="2261"/>
        <w:gridCol w:w="4205"/>
        <w:gridCol w:w="3614"/>
      </w:tblGrid>
      <w:tr>
        <w:trPr>
          <w:cantSplit/>
          <w:tblHeader/>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Work</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Mechanism already available</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Implication</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Re3 [1]</w:t>
              <w:br/>
              <w:t>ACL 2026</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Temporal encoding and listwise fact grouping followed by obsolete-version filtering.</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Compare directly; filtering is established.</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Zep and ATOM [2,3]</w:t>
              <w:br/>
              <w:t>2025 and EACL Findings 2026</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Dynamic temporal graphs, entity/fact processing, and separate observation and validity times.</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Dual clocks and dynamic graphs are foundations.</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MemStrata [4]</w:t>
              <w:br/>
              <w:t>June 2026 preprint</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Deterministic supersession and retained history; structured inputs simplify extraction.</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No query-time LLM is an efficiency property, not a new mechanism.</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IA-RAG [5]</w:t>
              <w:br/>
              <w:t>June 2026 preprint</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Interval relations, uncertain-boundary tightening and temporal traversal.</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Interval algebra and vague dates need a sharper advance.</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TimelyRAG [6]</w:t>
              <w:br/>
              <w:t>September 2026 preprint</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Effective-time compatibility for overlapping document amendments.</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Effective-date reranking is a necessary baseline.</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TA-RAG and MemoTime [7,8]</w:t>
              <w:br/>
              <w:t>2025 preprints</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Diachronic queries, temporal decomposition and operator/path reasoning.</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Before/after/change operators alone are insufficient.</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Conformal context selection [9]</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Calibrated retention of relevant snippets.</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Target complete temporal support survival, not generic relevance coverage.</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Beyond Pairwise [10]</w:t>
              <w:br/>
              <w:t>EMNLP 2025</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Global temporal graph generation with consistency constraints.</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Constraint optimization alone is established.</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RA-RAG and MemReranker [11,12]</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Source reliability aggregation; distilled reranking with temporal/coreference training.</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Weights or distillation alone need stronger justification.</w:t>
            </w:r>
          </w:p>
        </w:tc>
      </w:tr>
      <w:tr>
        <w:trPr>
          <w:cantSplit/>
        </w:trPr>
        <w:tc>
          <w:tcPr>
            <w:tcW w:type="dxa" w:w="22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FRESCO [13]</w:t>
              <w:br/>
              <w:t>April 2026 preprint</w:t>
            </w:r>
          </w:p>
        </w:tc>
        <w:tc>
          <w:tcPr>
            <w:tcW w:type="dxa" w:w="420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Historical Wikipedia revisions and evolving semantic-conflict evaluation.</w:t>
            </w:r>
          </w:p>
        </w:tc>
        <w:tc>
          <w:tcPr>
            <w:tcW w:type="dxa" w:w="361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Use as an external test where the task aligns.</w:t>
            </w:r>
          </w:p>
        </w:tc>
      </w:tr>
    </w:tbl>
    <w:p>
      <w:pPr>
        <w:spacing w:after="0"/>
      </w:pPr>
    </w:p>
    <w:p>
      <w:r>
        <w:rPr>
          <w:b w:val="0"/>
        </w:rPr>
        <w:t>Additional boundaries matter. Source grouping already has explicit treatment [14]; faithful temporal evidence is studied in FAITH [15]; generic RAG counterfactual confidence also exists [16]. A larger graph, a new acronym, or a stronger reader cannot establish an algorithmic contribution on its own.</w:t>
      </w:r>
    </w:p>
    <w:p>
      <w:pPr>
        <w:pStyle w:val="Heading1"/>
        <w:pageBreakBefore/>
      </w:pPr>
      <w:r>
        <w:t>Candidate A Joint temporal state induction</w:t>
      </w:r>
    </w:p>
    <w:p>
      <w:r>
        <w:rPr>
          <w:b w:val="0"/>
        </w:rPr>
      </w:r>
      <w:r>
        <w:rPr>
          <w:b/>
        </w:rPr>
        <w:t>Research question.</w:t>
      </w:r>
      <w:r>
        <w:rPr>
          <w:b w:val="0"/>
        </w:rPr>
        <w:t xml:space="preserve"> Can decisions about which fact a sentence concerns and how that fact changes improve each other, rather than being made by an irreversible sequence of heuristics? The current method makes these decisions locally; a false alias bridge can merge histories, while a missed alias fragments one history.</w:t>
      </w:r>
    </w:p>
    <w:p>
      <w:pPr>
        <w:pStyle w:val="Heading2"/>
      </w:pPr>
      <w:r>
        <w:t>Representation and predictions</w:t>
      </w:r>
    </w:p>
    <w:p>
      <w:r>
        <w:rPr>
          <w:b w:val="0"/>
        </w:rPr>
        <w:t>Keep source mentions, factual keys and state episodes separate. A key is a subject plus relation and any relevant scope. An episode is one period during which a value is supported. A returning value starts a new episode: A, B, B, A yields three episodes. The second B contributes evidence to its episode. It does not move the original change boundary.</w:t>
      </w:r>
    </w:p>
    <w:p>
      <w:r>
        <w:rPr>
          <w:b w:val="0"/>
        </w:rPr>
        <w:t>Predict same-key links and typed relations between assertions: RESTATES, CHANGES, CORRECTS, REPORTS_PAST, and UNRESOLVED. Treat these as separate identity and temporal/discourse predictions where labels can overlap. Start with explicitly functional relations; use coexistence as a challenge condition rather than forcing a single value for every relation.</w:t>
      </w:r>
    </w:p>
    <w:p>
      <w:pPr>
        <w:pStyle w:val="Heading2"/>
      </w:pPr>
      <w:r>
        <w:t>Concrete algorithm</w:t>
      </w:r>
    </w:p>
    <w:p>
      <w:pPr>
        <w:ind w:left="173" w:hanging="173"/>
      </w:pPr>
      <w:r>
        <w:rPr>
          <w:b w:val="0"/>
        </w:rPr>
        <w:t>1. Extract candidate entities, relations, values, temporal expressions and supporting spans. Keep alternatives for ambiguous mentions and unresolved dates.</w:t>
      </w:r>
    </w:p>
    <w:p>
      <w:pPr>
        <w:ind w:left="173" w:hanging="173"/>
      </w:pPr>
      <w:r>
        <w:rPr>
          <w:b w:val="0"/>
        </w:rPr>
        <w:t>2. Construct a sparse candidate graph using lexical/entity retrieval. Score identity compatibility, update type, temporal order and source dependence with a shared encoder or small cross-encoder.</w:t>
      </w:r>
    </w:p>
    <w:p>
      <w:pPr>
        <w:ind w:left="173" w:hanging="173"/>
      </w:pPr>
      <w:r>
        <w:rPr>
          <w:b w:val="0"/>
        </w:rPr>
        <w:t>3. Jointly select key assignments and episodes by maximizing extraction and pair scores subject to identity transitivity and temporal constraints. Use soft penalties when input evidence is uncertain. Do not force disagreeing sources into different entities merely to obtain a clean timeline.</w:t>
      </w:r>
    </w:p>
    <w:p>
      <w:pPr>
        <w:ind w:left="173" w:hanging="173"/>
      </w:pPr>
      <w:r>
        <w:rPr>
          <w:b w:val="0"/>
        </w:rPr>
        <w:t>4. Solve small candidate components with constrained optimization; retain multiple high-scoring solutions or unresolved links when decisive evidence is absent. General joint inference may be hard; no universal polynomial-time claim is assumed.</w:t>
      </w:r>
    </w:p>
    <w:p>
      <w:pPr>
        <w:ind w:left="173" w:hanging="173"/>
      </w:pPr>
      <w:r>
        <w:rPr>
          <w:b w:val="0"/>
        </w:rPr>
        <w:t>5. Execute only supported state operations and preserve provenance. Query retrieval reads the inferred memory; all gold annotations remain in the scorer.</w:t>
      </w:r>
    </w:p>
    <w:p>
      <w:pPr>
        <w:pStyle w:val="Heading2"/>
      </w:pPr>
      <w:r>
        <w:t>Training and the decisive comparison</w:t>
      </w:r>
    </w:p>
    <w:p>
      <w:r>
        <w:rPr>
          <w:b w:val="0"/>
        </w:rPr>
        <w:t>Train on annotated history prefixes, with held-out entities and relation families. Teacher-generated candidates can lower annotation cost, but human adjudication must define evaluation truth. Add paired training examples for restatement, reversion, alias changes, future appointments and retrospective reporting.</w:t>
      </w:r>
    </w:p>
    <w:p>
      <w:r>
        <w:rPr>
          <w:b w:val="0"/>
        </w:rPr>
        <w:t xml:space="preserve">The crucial baseline uses </w:t>
      </w:r>
      <w:r>
        <w:rPr>
          <w:b/>
        </w:rPr>
        <w:t>the identical extractor and pair scores</w:t>
      </w:r>
      <w:r>
        <w:rPr>
          <w:b w:val="0"/>
        </w:rPr>
        <w:t>, independently clusters factual keys, and then builds sorted intervals. This separates the value of joint inference from the value of a stronger language model. Also retain same-matcher newest-only, Re3-style listwise extraction, and corrected rule-based episodes.</w:t>
      </w:r>
    </w:p>
    <w:p>
      <w:pPr>
        <w:pStyle w:val="Heading2"/>
      </w:pPr>
      <w:r>
        <w:t>Result that would justify the method</w:t>
      </w:r>
    </w:p>
    <w:p>
      <w:r>
        <w:rPr>
          <w:b w:val="0"/>
        </w:rPr>
        <w:t>Joint inference should reduce component merges/splits and harmful suppression on naturally ambiguous cases, especially when both identity and timing are ambiguous. A gain limited to clean templates, or a gain reproduced by the independent pipeline, would not support the proposed interaction. Established canonicalization and temporal optimization [2,10] make this distinction essential.</w:t>
      </w:r>
    </w:p>
    <w:p>
      <w:pPr>
        <w:pStyle w:val="Heading1"/>
        <w:pageBreakBefore/>
      </w:pPr>
      <w:r>
        <w:t>Candidate B Preserve valid answer support</w:t>
      </w:r>
    </w:p>
    <w:p>
      <w:r>
        <w:rPr>
          <w:b w:val="0"/>
        </w:rPr>
      </w:r>
      <w:r>
        <w:rPr>
          <w:b/>
        </w:rPr>
        <w:t>Research question.</w:t>
      </w:r>
      <w:r>
        <w:rPr>
          <w:b w:val="0"/>
        </w:rPr>
        <w:t xml:space="preserve"> Can a retriever remove obsolete evidence while controlling the chance that it destroys the last sufficient support for a temporally correct answer? A high pairwise classification score does not answer this question: deleting one bridge can invalidate a multi-hop answer, while deleting a redundant source may be harmless.</w:t>
      </w:r>
    </w:p>
    <w:p>
      <w:pPr>
        <w:pStyle w:val="Heading2"/>
      </w:pPr>
      <w:r>
        <w:t>A task-level loss</w:t>
      </w:r>
    </w:p>
    <w:p>
      <w:r>
        <w:rPr>
          <w:b w:val="0"/>
        </w:rPr>
        <w:t>For each question, annotate the sufficient evidence sets present in a fixed candidate pool. Count a destruction error when at least one complete temporally valid set existed before selection, but none survives in the final selected context. Report initial support recall separately. Otherwise a poor first-stage retriever could make the destruction metric appear artificially good.</w:t>
      </w:r>
    </w:p>
    <w:p>
      <w:r>
        <w:rPr>
          <w:b w:val="0"/>
        </w:rPr>
        <w:t>Measure both overall destruction and destruction conditional on the candidate pool containing sufficient support. Aggregate queries within each independent history before calibration and uncertainty estimation. The complete-support annotation must be reliable; labeling one convenient path as the only possible path can overcount harmful exclusions.</w:t>
      </w:r>
    </w:p>
    <w:p>
      <w:pPr>
        <w:pStyle w:val="Heading2"/>
      </w:pPr>
      <w:r>
        <w:t>Concrete algorithm</w:t>
      </w:r>
    </w:p>
    <w:p>
      <w:pPr>
        <w:ind w:left="173" w:hanging="173"/>
      </w:pPr>
      <w:r>
        <w:rPr>
          <w:b w:val="0"/>
        </w:rPr>
        <w:t>1. Train an exclusion scorer from predicted identity, temporal validity, replacement evidence and query intent. Freeze it before calibration.</w:t>
      </w:r>
    </w:p>
    <w:p>
      <w:pPr>
        <w:ind w:left="173" w:hanging="173"/>
      </w:pPr>
      <w:r>
        <w:rPr>
          <w:b w:val="0"/>
        </w:rPr>
        <w:t>2. Estimate structural impact: would exclusion change the selected state, remove a unique bridge, or affect many dependent queries? Use with/without-edge retrieval as a cheap intervention before considering another model call.</w:t>
      </w:r>
    </w:p>
    <w:p>
      <w:pPr>
        <w:ind w:left="173" w:hanging="173"/>
      </w:pPr>
      <w:r>
        <w:rPr>
          <w:b w:val="0"/>
        </w:rPr>
        <w:t>3. Define a finite menu of retention and verification policies. Each includes the final context budget, fallback and any adaptive retrieval rounds.</w:t>
      </w:r>
    </w:p>
    <w:p>
      <w:pPr>
        <w:ind w:left="173" w:hanging="173"/>
      </w:pPr>
      <w:r>
        <w:rPr>
          <w:b w:val="0"/>
        </w:rPr>
        <w:t>4. Calibrate policy-level risk on disjoint histories. Select the policy with best stale-evidence reduction or context cost among policies whose risk upper bound meets the chosen target.</w:t>
      </w:r>
    </w:p>
    <w:p>
      <w:pPr>
        <w:ind w:left="173" w:hanging="173"/>
      </w:pPr>
      <w:r>
        <w:rPr>
          <w:b w:val="0"/>
        </w:rPr>
        <w:t>5. Preserve competing evidence within the calibrated budget or abstain when no certified policy is useful. Abstention does not erase a support-destruction error if no complete support set survives; selective answer error is a separate loss. Report answer coverage.</w:t>
      </w:r>
    </w:p>
    <w:p>
      <w:pPr>
        <w:pStyle w:val="Heading2"/>
      </w:pPr>
      <w:r>
        <w:t>A defensible guarantee and its limits</w:t>
      </w:r>
    </w:p>
    <w:p>
      <w:r>
        <w:rPr>
          <w:b w:val="0"/>
        </w:rPr>
        <w:t>For genuinely nested retained sets, support destruction is monotone and conformal risk control may apply [17]. Final answer error and budgeted top-k selection need not be monotone. A frozen finite policy grid with Learn-then-Test or simultaneous valid risk bounds is a safer starting point [18]. The bound concerns population risk under the stated sampling assumptions; it is not a guarantee on every question or arbitrary future distribution shift.</w:t>
      </w:r>
    </w:p>
    <w:p>
      <w:r>
        <w:rPr>
          <w:b w:val="0"/>
        </w:rPr>
        <w:t>A simple first proof can use bounded history-level losses and a simultaneous concentration bound across all candidate policies. This is an application of established statistics. The research contribution must lie in the support-structure objective, selection algorithm and demonstrated utility, rather than relabeling generic calibration as new theory.</w:t>
      </w:r>
    </w:p>
    <w:p>
      <w:pPr>
        <w:pStyle w:val="Heading2"/>
      </w:pPr>
      <w:r>
        <w:t>Decisive result and failure criterion</w:t>
      </w:r>
    </w:p>
    <w:p>
      <w:r>
        <w:rPr>
          <w:b w:val="0"/>
        </w:rPr>
        <w:t>Compare hard masks, soft reranking, probability thresholds, per-snippet calibrated retention [9], and support-aware selection at matched cost. Seek a better accuracy-coverage-cost frontier and lower loss of complete temporal evidence. If pair confidence alone performs equally well, the structural impact mechanism has not earned its complexity. Very small risk targets require many independent calibration histories; a small pilot cannot establish a credible one-percent guarantee.</w:t>
      </w:r>
    </w:p>
    <w:p>
      <w:pPr>
        <w:pStyle w:val="Heading1"/>
        <w:pageBreakBefore/>
      </w:pPr>
      <w:r>
        <w:t>Candidate C Corrections and two temporal questions</w:t>
      </w:r>
    </w:p>
    <w:p>
      <w:r>
        <w:rPr>
          <w:b w:val="0"/>
        </w:rPr>
      </w:r>
      <w:r>
        <w:rPr>
          <w:b/>
        </w:rPr>
        <w:t>Research question.</w:t>
      </w:r>
      <w:r>
        <w:rPr>
          <w:b w:val="0"/>
        </w:rPr>
        <w:t xml:space="preserve"> Can a system distinguish what the corpus supports about a past event today from what it could have supported using only evidence available at an earlier date? This targets correction semantics and future-information leakage in derived memory.</w:t>
      </w:r>
    </w:p>
    <w:p>
      <w:pPr>
        <w:pStyle w:val="Heading2"/>
      </w:pPr>
      <w:r>
        <w:t>Separate event time from availability</w:t>
      </w:r>
    </w:p>
    <w:p>
      <w:r>
        <w:rPr>
          <w:b w:val="0"/>
        </w:rPr>
        <w:t>Represent a question by its language, the event time it asks about, and an information-availability cutoff. Preserve publication/revision availability separately from extracted validity. A later publication may describe an older event, announce a future change, or correct a previously reported value.</w:t>
      </w:r>
    </w:p>
    <w:p>
      <w:r>
        <w:rPr>
          <w:b w:val="0"/>
        </w:rPr>
        <w:t>An illustrative case: a report available on 10 April says Bob took office on 1 March. A correction available on 5 May says the effective date was 15 March. For 8 March, April evidence supports Bob; May evidence supports that Bob had not yet taken office, leaving the prior holder unknown unless another source identifies them. Publication recency alone conflates these questions; availability and effective-time filtering is the essential baseline.</w:t>
      </w:r>
    </w:p>
    <w:p>
      <w:pPr>
        <w:pStyle w:val="Heading2"/>
      </w:pPr>
      <w:r>
        <w:t>Concrete algorithm</w:t>
      </w:r>
    </w:p>
    <w:p>
      <w:pPr>
        <w:ind w:left="173" w:hanging="173"/>
      </w:pPr>
      <w:r>
        <w:rPr>
          <w:b w:val="0"/>
        </w:rPr>
        <w:t>1. Extract the assertion, stated effective interval, publication/version time and any correction target, retaining its evidence span.</w:t>
      </w:r>
    </w:p>
    <w:p>
      <w:pPr>
        <w:ind w:left="173" w:hanging="173"/>
      </w:pPr>
      <w:r>
        <w:rPr>
          <w:b w:val="0"/>
        </w:rPr>
        <w:t>2. Predict whether the passage changes a state prospectively, corrects a prior assertion retrospectively, restates a fact, or leaves conflict unresolved.</w:t>
      </w:r>
    </w:p>
    <w:p>
      <w:pPr>
        <w:ind w:left="173" w:hanging="173"/>
      </w:pPr>
      <w:r>
        <w:rPr>
          <w:b w:val="0"/>
        </w:rPr>
        <w:t>3. Store state transitions and correction relations separately. Preserve earlier versions rather than rewriting historical memory irreversibly.</w:t>
      </w:r>
    </w:p>
    <w:p>
      <w:pPr>
        <w:ind w:left="173" w:hanging="173"/>
      </w:pPr>
      <w:r>
        <w:rPr>
          <w:b w:val="0"/>
        </w:rPr>
        <w:t>4. Construct or restore the memory using only documents available by the requested cutoff. Apply event-time constraints within that eligible evidence state.</w:t>
      </w:r>
    </w:p>
    <w:p>
      <w:pPr>
        <w:ind w:left="173" w:hanging="173"/>
      </w:pPr>
      <w:r>
        <w:rPr>
          <w:b w:val="0"/>
        </w:rPr>
        <w:t>5. Return an answer, supported alternatives or an unknown interval, together with the source spans responsible for the decision.</w:t>
      </w:r>
    </w:p>
    <w:p>
      <w:pPr>
        <w:pStyle w:val="Heading2"/>
      </w:pPr>
      <w:r>
        <w:t>Why observation time is insufficient</w:t>
      </w:r>
    </w:p>
    <w:p>
      <w:r>
        <w:rPr>
          <w:b w:val="0"/>
        </w:rPr>
        <w:t>An observation of A at one date and B at a later date does not by itself identify the exact change date. Under a persistence assumption it may only bound the transition between them. Represent that uncertainty unless explicit effective-time evidence narrows it. Treat all chronologies consistent with the evidence as candidates, and answer definitively only when they agree on the requested value.</w:t>
      </w:r>
    </w:p>
    <w:p>
      <w:r>
        <w:rPr>
          <w:b w:val="0"/>
        </w:rPr>
        <w:t>The two-clock schema is established [2,3], and TimelyRAG already addresses effective-date compatibility [6]. The possible advance is learning correction versus update semantics from natural language and showing that it improves exposure-limited answers over those strong baselines.</w:t>
      </w:r>
    </w:p>
    <w:p>
      <w:pPr>
        <w:pStyle w:val="Heading2"/>
      </w:pPr>
      <w:r>
        <w:t>Evaluation that can falsify the idea</w:t>
      </w:r>
    </w:p>
    <w:p>
      <w:r>
        <w:rPr>
          <w:b w:val="0"/>
        </w:rPr>
        <w:t>Pair the same historical question across availability cutoffs. Include backdated corrections, future appointments, republished retrospective articles and boundary uncertainty. Compare effective-date newest-per-key, a bitemporal graph baseline and the typed correction model with the same extractor.</w:t>
      </w:r>
    </w:p>
    <w:p>
      <w:r>
        <w:rPr>
          <w:b w:val="0"/>
        </w:rPr>
        <w:t>Rebuild the index from the eligible prefix, or prove versioned reconstruction equivalent. Removing future passages after constructing a full-corpus graph is insufficient: future evidence may already have influenced aliases, interval endpoints and supersession links. Frozen snapshots are also important in light of documented date-filter leakage [19]. If a simple effective-time baseline matches the model, retain the replay protocol as a methodological contribution.</w:t>
      </w:r>
    </w:p>
    <w:p>
      <w:pPr>
        <w:pStyle w:val="Heading1"/>
        <w:pageBreakBefore/>
      </w:pPr>
      <w:r>
        <w:t>Other directions worth testing</w:t>
      </w:r>
    </w:p>
    <w:p>
      <w:r>
        <w:rPr>
          <w:b w:val="0"/>
        </w:rPr>
        <w:t>These options cover the main algorithmic axes. Priority reflects fit to the audited project and the burden of establishing a distinct contribution, not a claim that an idea is unprecedented. Add a direction only when a pilot identifies the corresponding bottleneck.</w:t>
      </w:r>
    </w:p>
    <w:tbl>
      <w:tblPr>
        <w:tblW w:type="auto" w:w="0"/>
        <w:jc w:val="center"/>
        <w:tblLayout w:type="fixed"/>
        <w:tblLook w:firstColumn="1" w:firstRow="1" w:lastColumn="0" w:lastRow="0" w:noHBand="0" w:noVBand="1" w:val="04A0"/>
      </w:tblPr>
      <w:tblGrid>
        <w:gridCol w:w="2045"/>
        <w:gridCol w:w="4349"/>
        <w:gridCol w:w="3686"/>
      </w:tblGrid>
      <w:tr>
        <w:trPr>
          <w:cantSplit/>
          <w:tblHeader/>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Direction</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Specific advance to test</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Position</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Ambiguity-preserving answers</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Retain multiple identity/time interpretations; retrieve to resolve the boundary that changes the answer.</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Strong companion to A or C; interval uncertainty alone overlaps IA-RAG.</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Transition evidence bundles</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Select endpoint states and a transition witness jointly for predecessor/change questions under a token budget.</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Promising if ordinary operator execution fails; compare TA-RAG and MemoTime.</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Temporal multi-hop certificates</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Check bindings, evidence and query-specific temporal constraints; retrieve only the missing proof obligation.</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Higher effort; ordinary provenance is insufficient novelty.</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Targeted evidence acquisition</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Choose entity disambiguation, date evidence or corroboration based on the unresolved uncertainty.</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Extension after a fixed policy succeeds; compare next-k retrieval at equal cost.</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Distilled state operations</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Distill entity alignment and update/correction operations into a reusable offline state inducer.</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Enabling technique; compare the teacher and MemReranker-style reranking.</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Source delay and copying</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Jointly model reporting lag, source dependence and uncertain state transitions.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High upside, high annotation and identifiability burden; source weighting is established.</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Scope and relation cardinality</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Represent additions/removals, co-holders, jurisdictions or product versions without destructive replacement.</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Separate scope-rich paper if functional relations are too narrow.</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Incremental semantic repair</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Update affected identities, episodes and dependent evidence certificates after late arrivals or corrections.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Systems extension; demonstrate equivalence to rebuilding and realistic update costs.</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Temporal contrastive retrieval</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Use negatives differing in event time, update semantics or identity while retaining lexical similarity.</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Useful training ablation; a new loss alone needs stronger capability evidence.</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Cross-language histories</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Resolve aliases, date conventions and event statements across languages with shared evidence state.</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Potential ACL extension only with strong multilingual data and comparisons.</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Intervention benchmark</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Test invariance to irrelevant edits and sensitivity to legitimate updates on the same histories.</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High-value methodology for every direction; possible standalone empirical paper.</w:t>
            </w:r>
          </w:p>
        </w:tc>
      </w:tr>
      <w:tr>
        <w:trPr>
          <w:cantSplit/>
        </w:trPr>
        <w:tc>
          <w:tcPr>
            <w:tcW w:type="dxa" w:w="20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Amortized memory economics</w:t>
            </w:r>
          </w:p>
        </w:tc>
        <w:tc>
          <w:tcPr>
            <w:tcW w:type="dxa" w:w="434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Measure when offline induction beats repeated query-time adjudication as queries and updates accumulate.</w:t>
            </w:r>
          </w:p>
        </w:tc>
        <w:tc>
          <w:tcPr>
            <w:tcW w:type="dxa" w:w="36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Useful empirical contribution; include indexing and repair, not only read latency.</w:t>
            </w:r>
          </w:p>
        </w:tc>
      </w:tr>
    </w:tbl>
    <w:p>
      <w:pPr>
        <w:spacing w:after="0"/>
      </w:pPr>
    </w:p>
    <w:p>
      <w:r>
        <w:rPr>
          <w:b w:val="0"/>
        </w:rPr>
        <w:t>For predecessor questions, absence of an intermediate holder is not evidence of adjacency; require a complete-enough history or an explicit succession statement. For simultaneous multi-hop questions, intervals must overlap; sequential questions instead require the appropriate ordering constraints. Evidence-bundle objectives may have complementarities, so a greedy submodular guarantee must not be assumed.</w:t>
      </w:r>
    </w:p>
    <w:p>
      <w:pPr>
        <w:pStyle w:val="Heading1"/>
        <w:pageBreakBefore/>
      </w:pPr>
      <w:r>
        <w:t>Experiments that identify the contribution</w:t>
      </w:r>
    </w:p>
    <w:p>
      <w:pPr>
        <w:pStyle w:val="Heading2"/>
      </w:pPr>
      <w:r>
        <w:t>Repair and establish the baseline boundary</w:t>
      </w:r>
    </w:p>
    <w:p>
      <w:r>
        <w:rPr>
          <w:b w:val="0"/>
        </w:rPr>
        <w:t>First correct episode construction and historical routing. Enforce a prediction interface containing only text, provenance and observed metadata. Gold keys, values and intervals must remain inaccessible to the inference path. Run current and historical tasks with identical extraction, relevance scores, context budgets and readers across competing policies.</w:t>
      </w:r>
    </w:p>
    <w:p>
      <w:r>
        <w:rPr>
          <w:b w:val="0"/>
        </w:rPr>
        <w:t>Minimum comparisons are: hybrid retrieval with dates; same-matcher newest-per-key; the corrected rule-based episode model; the same learned extractor plus independent clustering and sorted intervals; the proposed method; a prompted listwise temporal resolver; and applicable published temporal systems. Include oracle extraction and oracle routing only as labeled upper bounds.</w:t>
      </w:r>
    </w:p>
    <w:p>
      <w:pPr>
        <w:pStyle w:val="Heading2"/>
      </w:pPr>
      <w:r>
        <w:t>A manageable discovery pilot</w:t>
      </w:r>
    </w:p>
    <w:p>
      <w:r>
        <w:rPr>
          <w:b w:val="0"/>
        </w:rPr>
        <w:t>A planning target is 150 to 200 independent histories drawn from two or three natural-document settings: organizational appointments, software release/migration documentation, and institutional policy revisions. The purpose is to discover whether the proposed distinctions occur often enough and whether reliable annotation is feasible. This is not a proposed final benchmark size or sufficient evidence for stringent risk guarantees.</w:t>
      </w:r>
    </w:p>
    <w:p>
      <w:r>
        <w:rPr>
          <w:b w:val="0"/>
        </w:rPr>
        <w:t>Annotate source versions and availability, assertion spans, entity/relation identity, value, effective dates or bounds, update/correction type, unresolved conflicts, and minimally sufficient support sets. Include unchanged histories and irrelevant newer documents. Use two annotators for ambiguous cases with adjudication, and record disagreement instead of forcing precision unsupported by the sources.</w:t>
      </w:r>
    </w:p>
    <w:p>
      <w:r>
        <w:rPr>
          <w:b w:val="0"/>
        </w:rPr>
        <w:t>Retain a naturally sampled primary set and a separately labeled balanced challenge set. All variants of a history, entity and copied source family stay in the same split. Reserve train, development, calibration and final test histories separately. A pilot may use cross-validation for exploration; final claims require an untouched test set and enough independent calibration units.</w:t>
      </w:r>
    </w:p>
    <w:p>
      <w:pPr>
        <w:pStyle w:val="Heading2"/>
      </w:pPr>
      <w:r>
        <w:t>Factorial tests and error decomposition</w:t>
      </w:r>
    </w:p>
    <w:p>
      <w:r>
        <w:rPr>
          <w:b w:val="0"/>
        </w:rPr>
        <w:t>Vary identity ambiguity and temporal ambiguity independently. This tests whether joint inference provides an interaction benefit. Separately cross genuine change versus no change with reliable versus misleading late reports, independent versus copied evidence, and short versus long reporting delay. Such controlled tests diagnose mechanisms; they do not estimate natural prevalence.</w:t>
      </w:r>
    </w:p>
    <w:p>
      <w:r>
        <w:rPr>
          <w:b w:val="0"/>
        </w:rPr>
        <w:t>Measure each stage: claim extraction recall; identity merges/splits; update-type accuracy; boundary uncertainty; candidate support recall; complete temporal support after selection; strict answer accuracy; abstention coverage; false suppression; and query/index/update cost. For multi-hop cases, a correct answer counts as supported only when a valid evidence set is present.</w:t>
      </w:r>
    </w:p>
    <w:p>
      <w:pPr>
        <w:pStyle w:val="Heading2"/>
      </w:pPr>
      <w:r>
        <w:t>Statistical and computational discipline</w:t>
      </w:r>
    </w:p>
    <w:p>
      <w:r>
        <w:rPr>
          <w:b w:val="0"/>
        </w:rPr>
        <w:t>Use history-level paired confidence intervals and preserve within-history dependence. Select thresholds and prompts without test feedback. Report performance by phenomenon and domain, then test at least two materially different readers only after the retrieval effect is established. Expand sample size according to the pilot effect size and the precision required for the central claim.</w:t>
      </w:r>
    </w:p>
    <w:p>
      <w:r>
        <w:rPr>
          <w:b w:val="0"/>
        </w:rPr>
        <w:t>Use real shared-entity corpora for scaling. Report pair counts, peak memory, p50/p95 update time, query time and batch-rebuild agreement. Include dense same-relation groups and alias merges/splits. A no-LLM read path can still have substantial indexing costs.</w:t>
      </w:r>
    </w:p>
    <w:p>
      <w:pPr>
        <w:pStyle w:val="Heading1"/>
        <w:pageBreakBefore/>
      </w:pPr>
      <w:r>
        <w:t>Interventions and candidate scientific results</w:t>
      </w:r>
    </w:p>
    <w:p>
      <w:r>
        <w:rPr>
          <w:b w:val="0"/>
        </w:rPr>
        <w:t>A useful temporal model must respond to actual changes while remaining stable under irrelevant alterations. Pair those tests; a model that ignores every update can otherwise look robust. Counterfactual collections should be human-checked to preserve their intended meaning.</w:t>
      </w:r>
    </w:p>
    <w:tbl>
      <w:tblPr>
        <w:tblW w:type="auto" w:w="0"/>
        <w:jc w:val="center"/>
        <w:tblLayout w:type="fixed"/>
        <w:tblLook w:firstColumn="1" w:firstRow="1" w:lastColumn="0" w:lastRow="0" w:noHBand="0" w:noVBand="1" w:val="04A0"/>
      </w:tblPr>
      <w:tblGrid>
        <w:gridCol w:w="2923"/>
        <w:gridCol w:w="3629"/>
        <w:gridCol w:w="3528"/>
      </w:tblGrid>
      <w:tr>
        <w:trPr>
          <w:cantSplit/>
          <w:tblHeader/>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Intervention</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Expected behavior</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What failure diagnoses</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Add a duplicate from the same source root</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State answer and evidence weight stay stable; provenance remains available.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Repetition is being treated as independent support.</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Add a genuine restatement</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Historical transition boundaries stay unchanged.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Mentions are being confused with state changes.</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Introduce a return to a previous value</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 new episode appears; the intervening episode remains retrievable.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Values are being globally coalesced across time.</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Republish an explicitly historical report</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Its applicable event time stays historical.</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Publication recency is replacing validity inference.</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Change became to will become with dates</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Current and future answers change appropriately.</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Tense and effective-time semantics are ignored.</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Add a later correction of an old report</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Retrospective support updates after the correction becomes available.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Updates and corrections are conflated.</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Add a future document beyond the cutoff</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Earlier exposure-limited answers and derived memory stay unchanged.</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Future information leaks through memory construction.</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Remove a unique temporal bridge</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A multi-hop answer becomes unsupported or triggers targeted retrieval.</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The system guesses despite missing evidence.</w:t>
            </w:r>
          </w:p>
        </w:tc>
      </w:tr>
      <w:tr>
        <w:trPr>
          <w:cantSplit/>
        </w:trPr>
        <w:tc>
          <w:tcPr>
            <w:tcW w:type="dxa" w:w="292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Shuffle arrival order with fixed metadata</w:t>
            </w:r>
          </w:p>
        </w:tc>
        <w:tc>
          <w:tcPr>
            <w:tcW w:type="dxa" w:w="362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Batch and exact incremental reconstructions agree.</w:t>
            </w:r>
          </w:p>
        </w:tc>
        <w:tc>
          <w:tcPr>
            <w:tcW w:type="dxa" w:w="352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Results depend on ingestion order instead of declared semantics.</w:t>
            </w:r>
          </w:p>
        </w:tc>
      </w:tr>
    </w:tbl>
    <w:p>
      <w:pPr>
        <w:spacing w:after="0"/>
      </w:pPr>
    </w:p>
    <w:p>
      <w:pPr>
        <w:pStyle w:val="Heading2"/>
      </w:pPr>
      <w:r>
        <w:t>Results worth seeking</w:t>
      </w:r>
    </w:p>
    <w:p>
      <w:r>
        <w:rPr>
          <w:b w:val="0"/>
        </w:rPr>
      </w:r>
      <w:r>
        <w:rPr>
          <w:b/>
        </w:rPr>
        <w:t>Capability result:</w:t>
      </w:r>
      <w:r>
        <w:rPr>
          <w:b w:val="0"/>
        </w:rPr>
        <w:t xml:space="preserve"> typed state induction beats newest-per-key and the same-score independent pipeline on corrections, aliases and retrospective reports, while matching simple methods on clean histories.</w:t>
      </w:r>
    </w:p>
    <w:p>
      <w:r>
        <w:rPr>
          <w:b w:val="0"/>
        </w:rPr>
      </w:r>
      <w:r>
        <w:rPr>
          <w:b/>
        </w:rPr>
        <w:t>Decision result:</w:t>
      </w:r>
      <w:r>
        <w:rPr>
          <w:b w:val="0"/>
        </w:rPr>
        <w:t xml:space="preserve"> support-aware filtering preserves more answerable questions at a fixed harmful-exclusion rate and context budget than confidence-only or per-snippet retention.</w:t>
      </w:r>
    </w:p>
    <w:p>
      <w:r>
        <w:rPr>
          <w:b w:val="0"/>
        </w:rPr>
      </w:r>
      <w:r>
        <w:rPr>
          <w:b/>
        </w:rPr>
        <w:t>Methodological result:</w:t>
      </w:r>
      <w:r>
        <w:rPr>
          <w:b w:val="0"/>
        </w:rPr>
        <w:t xml:space="preserve"> a strictly prefix-built memory changes the ranking of temporal methods compared with full-corpus graphs and post-hoc date masks. This would show why derived-memory leakage matters.</w:t>
      </w:r>
    </w:p>
    <w:p>
      <w:r>
        <w:rPr>
          <w:b w:val="0"/>
        </w:rPr>
      </w:r>
      <w:r>
        <w:rPr>
          <w:b/>
        </w:rPr>
        <w:t>Efficiency result:</w:t>
      </w:r>
      <w:r>
        <w:rPr>
          <w:b w:val="0"/>
        </w:rPr>
        <w:t xml:space="preserve"> repeated use amortizes offline induction without excessive update cost. Estimate the break-even query count from additional indexing cost divided by per-query savings, and include updates during the evaluation horizon.</w:t>
      </w:r>
    </w:p>
    <w:p>
      <w:r>
        <w:rPr>
          <w:b w:val="0"/>
        </w:rPr>
        <w:t>These are possible outcomes, not numerical targets to write into the paper in advance. A well-supported negative result can motivate an empirical or benchmark paper if stronger algorithms do not improve on the corrected baseline.</w:t>
      </w:r>
    </w:p>
    <w:p>
      <w:pPr>
        <w:pStyle w:val="Heading1"/>
        <w:pageBreakBefore/>
      </w:pPr>
      <w:r>
        <w:t>Theory and manuscript decision gates</w:t>
      </w:r>
    </w:p>
    <w:p>
      <w:pPr>
        <w:pStyle w:val="Heading2"/>
      </w:pPr>
      <w:r>
        <w:t>Useful properties to prove</w:t>
      </w:r>
    </w:p>
    <w:p>
      <w:r>
        <w:rPr>
          <w:b w:val="0"/>
        </w:rPr>
      </w:r>
      <w:r>
        <w:rPr>
          <w:b/>
        </w:rPr>
        <w:t>Restatement stability.</w:t>
      </w:r>
      <w:r>
        <w:rPr>
          <w:b w:val="0"/>
        </w:rPr>
        <w:t xml:space="preserve"> With fixed correct key/value assignments and explicit effective times, adding a recognized restatement inside an episode should preserve its boundaries. Exact duplicate invariance is easier than invariance to arbitrary paraphrases. Treat the former as a specification; learn and measure the latter.</w:t>
      </w:r>
    </w:p>
    <w:p>
      <w:r>
        <w:rPr>
          <w:b w:val="0"/>
        </w:rPr>
      </w:r>
      <w:r>
        <w:rPr>
          <w:b/>
        </w:rPr>
        <w:t>Ambiguity soundness.</w:t>
      </w:r>
      <w:r>
        <w:rPr>
          <w:b w:val="0"/>
        </w:rPr>
        <w:t xml:space="preserve"> If the retained interpretation set contains the true corpus-supported interpretation, and exclusion is valid in every retained interpretation, then the exclusion is safe under that interpretation. The difficult contribution is a tractable certificate and useful coverage, not this conditional implication alone.</w:t>
      </w:r>
    </w:p>
    <w:p>
      <w:r>
        <w:rPr>
          <w:b w:val="0"/>
        </w:rPr>
      </w:r>
      <w:r>
        <w:rPr>
          <w:b/>
        </w:rPr>
        <w:t>Risk-controlled support preservation.</w:t>
      </w:r>
      <w:r>
        <w:rPr>
          <w:b w:val="0"/>
        </w:rPr>
        <w:t xml:space="preserve"> Define the precise loss, sampling unit and frozen policy family, then derive the applicable calibration bound. Dependencies among claims cannot be ignored. Calibrate by history and distinguish expected risk from a confidence statement about that risk.</w:t>
      </w:r>
    </w:p>
    <w:p>
      <w:r>
        <w:rPr>
          <w:b w:val="0"/>
        </w:rPr>
      </w:r>
      <w:r>
        <w:rPr>
          <w:b/>
        </w:rPr>
        <w:t>Incremental equivalence.</w:t>
      </w:r>
      <w:r>
        <w:rPr>
          <w:b w:val="0"/>
        </w:rPr>
        <w:t xml:space="preserve"> Under fixed local scores, complete candidate generation and deterministic conflict treatment, updates should produce the same state as batch reconstruction. Alias merges and splits may affect large components. State costs in terms of affected records; do not claim uniformly cheap repair.</w:t>
      </w:r>
    </w:p>
    <w:p>
      <w:r>
        <w:rPr>
          <w:b w:val="0"/>
        </w:rPr>
      </w:r>
      <w:r>
        <w:rPr>
          <w:b/>
        </w:rPr>
        <w:t>Identifiability boundary.</w:t>
      </w:r>
      <w:r>
        <w:rPr>
          <w:b w:val="0"/>
        </w:rPr>
        <w:t xml:space="preserve"> If available observations are compatible with two different change dates, a single historical answer may not be identifiable. Formalize the allowed observations and persistence assumptions, then show exactly what additional temporal evidence resolves the ambiguity. This can motivate set-valued answers rather than false precision.</w:t>
      </w:r>
    </w:p>
    <w:p>
      <w:pPr>
        <w:pStyle w:val="Heading2"/>
      </w:pPr>
      <w:r>
        <w:t>Three coherent manuscript options</w:t>
      </w:r>
    </w:p>
    <w:tbl>
      <w:tblPr>
        <w:tblW w:type="auto" w:w="0"/>
        <w:jc w:val="center"/>
        <w:tblLayout w:type="fixed"/>
        <w:tblLook w:firstColumn="1" w:firstRow="1" w:lastColumn="0" w:lastRow="0" w:noHBand="0" w:noVBand="1" w:val="04A0"/>
      </w:tblPr>
      <w:tblGrid>
        <w:gridCol w:w="1872"/>
        <w:gridCol w:w="3931"/>
        <w:gridCol w:w="4277"/>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Option</w:t>
            </w:r>
          </w:p>
        </w:tc>
        <w:tc>
          <w:tcPr>
            <w:tcW w:type="dxa" w:w="3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Main contribution</w:t>
            </w:r>
          </w:p>
        </w:tc>
        <w:tc>
          <w:tcPr>
            <w:tcW w:type="dxa" w:w="42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DCE6F1"/>
          </w:tcPr>
          <w:p>
            <w:pPr>
              <w:spacing w:after="40" w:line="247" w:lineRule="auto"/>
            </w:pPr>
            <w:r>
              <w:rPr>
                <w:b/>
                <w:color w:val="000000"/>
                <w:sz w:val="19"/>
              </w:rPr>
              <w:t>Evidence required</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Method paper</w:t>
            </w:r>
          </w:p>
        </w:tc>
        <w:tc>
          <w:tcPr>
            <w:tcW w:type="dxa" w:w="3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Joint uncertain identity and temporal-state inference, with a restrained selective retrieval layer.</w:t>
            </w:r>
          </w:p>
        </w:tc>
        <w:tc>
          <w:tcPr>
            <w:tcW w:type="dxa" w:w="42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Same-score pipeline ablation; improvements on naturally ambiguous histories; stable clean-case behavior.</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Retrieval decision paper</w:t>
            </w:r>
          </w:p>
        </w:tc>
        <w:tc>
          <w:tcPr>
            <w:tcW w:type="dxa" w:w="3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Optimize and calibrate preservation of complete temporal support.</w:t>
            </w:r>
          </w:p>
        </w:tc>
        <w:tc>
          <w:tcPr>
            <w:tcW w:type="dxa" w:w="42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5F7FA"/>
          </w:tcPr>
          <w:p>
            <w:pPr>
              <w:spacing w:after="40" w:line="247" w:lineRule="auto"/>
            </w:pPr>
            <w:r>
              <w:rPr>
                <w:b w:val="0"/>
                <w:color w:val="000000"/>
                <w:sz w:val="19"/>
              </w:rPr>
              <w:t>Better risk-coverage-cost frontier; reliable support annotation; fair snippet-level and confidence baselines.</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Benchmark and analysis paper</w:t>
            </w:r>
          </w:p>
        </w:tc>
        <w:tc>
          <w:tcPr>
            <w:tcW w:type="dxa" w:w="3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Correction-aware two-time replay and intervention evaluation.</w:t>
            </w:r>
          </w:p>
        </w:tc>
        <w:tc>
          <w:tcPr>
            <w:tcW w:type="dxa" w:w="427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85" w:type="dxa"/>
              <w:bottom w:w="85" w:type="dxa"/>
              <w:right w:w="85" w:type="dxa"/>
            </w:tcMar>
            <w:shd w:fill="FFFFFF"/>
          </w:tcPr>
          <w:p>
            <w:pPr>
              <w:spacing w:after="40" w:line="247" w:lineRule="auto"/>
            </w:pPr>
            <w:r>
              <w:rPr>
                <w:b w:val="0"/>
                <w:color w:val="000000"/>
                <w:sz w:val="19"/>
              </w:rPr>
              <w:t>Natural documents; reproducible snapshots; strong baselines; findings that change scientific conclusions.</w:t>
            </w:r>
          </w:p>
        </w:tc>
      </w:tr>
    </w:tbl>
    <w:p>
      <w:pPr>
        <w:spacing w:after="0"/>
      </w:pPr>
    </w:p>
    <w:p>
      <w:pPr>
        <w:pStyle w:val="Heading2"/>
      </w:pPr>
      <w:r>
        <w:t>Order of work</w:t>
      </w:r>
    </w:p>
    <w:p>
      <w:pPr>
        <w:ind w:left="173" w:hanging="173"/>
      </w:pPr>
      <w:r>
        <w:rPr>
          <w:b w:val="0"/>
        </w:rPr>
        <w:t>Gate 1: repair the current implementation and reproduce all relevant baseline masks and historical results. Keep corrected results separate from the submitted figures.</w:t>
      </w:r>
    </w:p>
    <w:p>
      <w:pPr>
        <w:ind w:left="173" w:hanging="173"/>
      </w:pPr>
      <w:r>
        <w:rPr>
          <w:b w:val="0"/>
        </w:rPr>
        <w:t>Gate 2: annotate a small natural-document pilot and estimate which failure types actually dominate. Stop adding components that address rare or unmeasurable cases.</w:t>
      </w:r>
    </w:p>
    <w:p>
      <w:pPr>
        <w:ind w:left="173" w:hanging="173"/>
      </w:pPr>
      <w:r>
        <w:rPr>
          <w:b w:val="0"/>
        </w:rPr>
        <w:t>Gate 3: implement candidate A and its identical-score independent baseline. Add candidate B only if false exclusion remains consequential; pursue C as the alternate focus if corrections and availability cutoffs dominate.</w:t>
      </w:r>
    </w:p>
    <w:p>
      <w:pPr>
        <w:ind w:left="173" w:hanging="173"/>
      </w:pPr>
      <w:r>
        <w:rPr>
          <w:b w:val="0"/>
        </w:rPr>
        <w:t>Gate 4: freeze the task, method, comparison set and annotation protocol before the larger study. Let pilot effect sizes determine data expansion. Keep the final test untouched.</w:t>
      </w:r>
    </w:p>
    <w:p>
      <w:pPr>
        <w:pStyle w:val="Heading1"/>
        <w:pageBreakBefore/>
      </w:pPr>
      <w:r>
        <w:t>Primary references</w:t>
      </w:r>
    </w:p>
    <w:p>
      <w:r>
        <w:rPr>
          <w:b w:val="0"/>
        </w:rPr>
        <w:t>References are provided to support the novelty comparison and experimental design. The proposed algorithms in this memo are research candidates. Inspect the latest versions and official implementations again before final submission.</w:t>
      </w:r>
    </w:p>
    <w:p>
      <w:pPr>
        <w:keepNext/>
        <w:spacing w:after="0"/>
      </w:pPr>
      <w:r>
        <w:rPr>
          <w:b w:val="0"/>
          <w:sz w:val="18"/>
        </w:rPr>
        <w:t>[1] Re3 Relevance and Recency Retrieval for Mitigating Temporal Hallucination. ACL 2026.</w:t>
      </w:r>
    </w:p>
    <w:p>
      <w:pPr>
        <w:spacing w:after="100"/>
      </w:pPr>
      <w:r>
        <w:rPr>
          <w:b w:val="0"/>
          <w:sz w:val="17"/>
        </w:rPr>
        <w:t>https://aclanthology.org/2026.acl-long.1180/</w:t>
      </w:r>
    </w:p>
    <w:p>
      <w:pPr>
        <w:keepNext/>
        <w:spacing w:after="0"/>
      </w:pPr>
      <w:r>
        <w:rPr>
          <w:b w:val="0"/>
          <w:sz w:val="18"/>
        </w:rPr>
        <w:t>[2] Zep A Temporal Knowledge Graph Architecture for Agent Memory. 2025.</w:t>
      </w:r>
    </w:p>
    <w:p>
      <w:pPr>
        <w:spacing w:after="100"/>
      </w:pPr>
      <w:r>
        <w:rPr>
          <w:b w:val="0"/>
          <w:sz w:val="17"/>
        </w:rPr>
        <w:t>https://arxiv.org/abs/2501.13956</w:t>
      </w:r>
    </w:p>
    <w:p>
      <w:pPr>
        <w:keepNext/>
        <w:spacing w:after="0"/>
      </w:pPr>
      <w:r>
        <w:rPr>
          <w:b w:val="0"/>
          <w:sz w:val="18"/>
        </w:rPr>
        <w:t>[3] ATOM AdapTive and OptiMized dynamic temporal knowledge graph construction using LLMs. Findings of EACL 2026.</w:t>
      </w:r>
    </w:p>
    <w:p>
      <w:pPr>
        <w:spacing w:after="100"/>
      </w:pPr>
      <w:r>
        <w:rPr>
          <w:b w:val="0"/>
          <w:sz w:val="17"/>
        </w:rPr>
        <w:t>https://aclanthology.org/2026.findings-eacl.49/</w:t>
      </w:r>
    </w:p>
    <w:p>
      <w:pPr>
        <w:keepNext/>
        <w:spacing w:after="0"/>
      </w:pPr>
      <w:r>
        <w:rPr>
          <w:b w:val="0"/>
          <w:sz w:val="18"/>
        </w:rPr>
        <w:t>[4] Temporal Validity in Retrieval Memory Eliminating Stale-Fact Errors for AI Agents over Evolving Knowledge. June 2026 preprint.</w:t>
      </w:r>
    </w:p>
    <w:p>
      <w:pPr>
        <w:spacing w:after="100"/>
      </w:pPr>
      <w:r>
        <w:rPr>
          <w:b w:val="0"/>
          <w:sz w:val="17"/>
        </w:rPr>
        <w:t>https://arxiv.org/abs/2606.26511</w:t>
      </w:r>
    </w:p>
    <w:p>
      <w:pPr>
        <w:keepNext/>
        <w:spacing w:after="0"/>
      </w:pPr>
      <w:r>
        <w:rPr>
          <w:b w:val="0"/>
          <w:sz w:val="18"/>
        </w:rPr>
        <w:t>[5] IA-RAG Interval-Algebra-Driven Temporal Reasoning for Dynamic Knowledge Retrieval. June 2026 preprint.</w:t>
      </w:r>
    </w:p>
    <w:p>
      <w:pPr>
        <w:spacing w:after="100"/>
      </w:pPr>
      <w:r>
        <w:rPr>
          <w:b w:val="0"/>
          <w:sz w:val="17"/>
        </w:rPr>
        <w:t>https://arxiv.org/abs/2606.06044</w:t>
      </w:r>
    </w:p>
    <w:p>
      <w:pPr>
        <w:keepNext/>
        <w:spacing w:after="0"/>
      </w:pPr>
      <w:r>
        <w:rPr>
          <w:b w:val="0"/>
          <w:sz w:val="18"/>
        </w:rPr>
        <w:t>[6] TimelyRAG Semantic-Temporal Hybrid Retrieval for Time-Critical Question Answering in Overlapping-Evolving Documents. September 2026 preprint.</w:t>
      </w:r>
    </w:p>
    <w:p>
      <w:pPr>
        <w:spacing w:after="100"/>
      </w:pPr>
      <w:r>
        <w:rPr>
          <w:b w:val="0"/>
          <w:sz w:val="17"/>
        </w:rPr>
        <w:t>https://arxiv.org/abs/2609.11572</w:t>
      </w:r>
    </w:p>
    <w:p>
      <w:pPr>
        <w:keepNext/>
        <w:spacing w:after="0"/>
      </w:pPr>
      <w:r>
        <w:rPr>
          <w:b w:val="0"/>
          <w:sz w:val="18"/>
        </w:rPr>
        <w:t>[7] Reading Between the Timelines RAG for Answering Diachronic Questions. 2025 preprint.</w:t>
      </w:r>
    </w:p>
    <w:p>
      <w:pPr>
        <w:spacing w:after="100"/>
      </w:pPr>
      <w:r>
        <w:rPr>
          <w:b w:val="0"/>
          <w:sz w:val="17"/>
        </w:rPr>
        <w:t>https://arxiv.org/abs/2507.22917</w:t>
      </w:r>
    </w:p>
    <w:p>
      <w:pPr>
        <w:keepNext/>
        <w:spacing w:after="0"/>
      </w:pPr>
      <w:r>
        <w:rPr>
          <w:b w:val="0"/>
          <w:sz w:val="18"/>
        </w:rPr>
        <w:t>[8] MemoTime Memory-Augmented Temporal Knowledge Graph Enhanced Large Language Model Reasoning. arXiv version 3.</w:t>
      </w:r>
    </w:p>
    <w:p>
      <w:pPr>
        <w:spacing w:after="100"/>
      </w:pPr>
      <w:r>
        <w:rPr>
          <w:b w:val="0"/>
          <w:sz w:val="17"/>
        </w:rPr>
        <w:t>https://arxiv.org/html/2510.13614v3</w:t>
      </w:r>
    </w:p>
    <w:p>
      <w:pPr>
        <w:keepNext/>
        <w:spacing w:after="0"/>
      </w:pPr>
      <w:r>
        <w:rPr>
          <w:b w:val="0"/>
          <w:sz w:val="18"/>
        </w:rPr>
        <w:t>[9] Principled Context Engineering for RAG Statistical Guarantees via Conformal Prediction. arXiv version 2.</w:t>
      </w:r>
    </w:p>
    <w:p>
      <w:pPr>
        <w:spacing w:after="100"/>
      </w:pPr>
      <w:r>
        <w:rPr>
          <w:b w:val="0"/>
          <w:sz w:val="17"/>
        </w:rPr>
        <w:t>https://arxiv.org/html/2511.17908v2</w:t>
      </w:r>
    </w:p>
    <w:p>
      <w:pPr>
        <w:keepNext/>
        <w:spacing w:after="0"/>
      </w:pPr>
      <w:r>
        <w:rPr>
          <w:b w:val="0"/>
          <w:sz w:val="18"/>
        </w:rPr>
        <w:t>[10] Beyond Pairwise Global Zero-shot Temporal Graph Generation. EMNLP 2025.</w:t>
      </w:r>
    </w:p>
    <w:p>
      <w:pPr>
        <w:spacing w:after="100"/>
      </w:pPr>
      <w:r>
        <w:rPr>
          <w:b w:val="0"/>
          <w:sz w:val="17"/>
        </w:rPr>
        <w:t>https://aclanthology.org/2025.emnlp-main.1601/</w:t>
      </w:r>
    </w:p>
    <w:p>
      <w:pPr>
        <w:keepNext/>
        <w:spacing w:after="0"/>
      </w:pPr>
      <w:r>
        <w:rPr>
          <w:b w:val="0"/>
          <w:sz w:val="18"/>
        </w:rPr>
        <w:t>[11] Retrieval-Augmented Generation with Estimation of Source Reliability. EMNLP 2025.</w:t>
      </w:r>
    </w:p>
    <w:p>
      <w:pPr>
        <w:spacing w:after="100"/>
      </w:pPr>
      <w:r>
        <w:rPr>
          <w:b w:val="0"/>
          <w:sz w:val="17"/>
        </w:rPr>
        <w:t>https://aclanthology.org/2025.emnlp-main.1738/</w:t>
      </w:r>
    </w:p>
    <w:p>
      <w:pPr>
        <w:keepNext/>
        <w:spacing w:after="0"/>
      </w:pPr>
      <w:r>
        <w:rPr>
          <w:b w:val="0"/>
          <w:sz w:val="18"/>
        </w:rPr>
        <w:t>[12] MemReranker Reasoning-Aware Reranking for Agent Memory Retrieval. May 2026 preprint.</w:t>
      </w:r>
    </w:p>
    <w:p>
      <w:pPr>
        <w:spacing w:after="100"/>
      </w:pPr>
      <w:r>
        <w:rPr>
          <w:b w:val="0"/>
          <w:sz w:val="17"/>
        </w:rPr>
        <w:t>https://arxiv.org/abs/2605.06132</w:t>
      </w:r>
    </w:p>
    <w:p>
      <w:pPr>
        <w:keepNext/>
        <w:spacing w:after="0"/>
      </w:pPr>
      <w:r>
        <w:rPr>
          <w:b w:val="0"/>
          <w:sz w:val="18"/>
        </w:rPr>
        <w:t>[13] FRESCO Benchmarking and Optimizing Re-rankers for Evolving Semantic Conflict in Retrieval-Augmented Generation. April 2026 preprint.</w:t>
      </w:r>
    </w:p>
    <w:p>
      <w:pPr>
        <w:spacing w:after="100"/>
      </w:pPr>
      <w:r>
        <w:rPr>
          <w:b w:val="0"/>
          <w:sz w:val="17"/>
        </w:rPr>
        <w:t>https://arxiv.org/abs/2604.14227</w:t>
      </w:r>
    </w:p>
    <w:p>
      <w:pPr>
        <w:keepNext/>
        <w:spacing w:after="0"/>
      </w:pPr>
      <w:r>
        <w:rPr>
          <w:b w:val="0"/>
          <w:sz w:val="18"/>
        </w:rPr>
        <w:t>[14] Record Grouping Controls Evidence Weight in Language Models. September 2026 preprint.</w:t>
      </w:r>
    </w:p>
    <w:p>
      <w:pPr>
        <w:spacing w:after="100"/>
      </w:pPr>
      <w:r>
        <w:rPr>
          <w:b w:val="0"/>
          <w:sz w:val="17"/>
        </w:rPr>
        <w:t>https://arxiv.org/abs/2609.08698</w:t>
      </w:r>
    </w:p>
    <w:p>
      <w:pPr>
        <w:keepNext/>
        <w:spacing w:after="0"/>
      </w:pPr>
      <w:r>
        <w:rPr>
          <w:b w:val="0"/>
          <w:sz w:val="18"/>
        </w:rPr>
        <w:t>[15] Faithful Temporal Question Answering over Heterogeneous Sources. 2024.</w:t>
      </w:r>
    </w:p>
    <w:p>
      <w:pPr>
        <w:spacing w:after="100"/>
      </w:pPr>
      <w:r>
        <w:rPr>
          <w:b w:val="0"/>
          <w:sz w:val="17"/>
        </w:rPr>
        <w:t>https://arxiv.org/abs/2402.15400</w:t>
      </w:r>
    </w:p>
    <w:p>
      <w:pPr>
        <w:keepNext/>
        <w:spacing w:after="0"/>
      </w:pPr>
      <w:r>
        <w:rPr>
          <w:b w:val="0"/>
          <w:sz w:val="18"/>
        </w:rPr>
        <w:t>[16] Controlling Risk of Retrieval-augmented Generation A Counterfactual Prompting Framework. Findings of EMNLP 2024.</w:t>
      </w:r>
    </w:p>
    <w:p>
      <w:pPr>
        <w:spacing w:after="100"/>
      </w:pPr>
      <w:r>
        <w:rPr>
          <w:b w:val="0"/>
          <w:sz w:val="17"/>
        </w:rPr>
        <w:t>https://aclanthology.org/2024.findings-emnlp.133/</w:t>
      </w:r>
    </w:p>
    <w:p>
      <w:pPr>
        <w:keepNext/>
        <w:spacing w:after="0"/>
      </w:pPr>
      <w:r>
        <w:rPr>
          <w:b w:val="0"/>
          <w:sz w:val="18"/>
        </w:rPr>
        <w:t>[17] Conformal Risk Control. Angelopoulos and colleagues.</w:t>
      </w:r>
    </w:p>
    <w:p>
      <w:pPr>
        <w:spacing w:after="100"/>
      </w:pPr>
      <w:r>
        <w:rPr>
          <w:b w:val="0"/>
          <w:sz w:val="17"/>
        </w:rPr>
        <w:t>https://arxiv.org/abs/2208.02814</w:t>
      </w:r>
    </w:p>
    <w:p>
      <w:pPr>
        <w:keepNext/>
        <w:spacing w:after="0"/>
      </w:pPr>
      <w:r>
        <w:rPr>
          <w:b w:val="0"/>
          <w:sz w:val="18"/>
        </w:rPr>
        <w:t>[18] Learn then Test Calibrating Predictive Algorithms to Achieve Risk Control. Angelopoulos and colleagues.</w:t>
      </w:r>
    </w:p>
    <w:p>
      <w:pPr>
        <w:spacing w:after="100"/>
      </w:pPr>
      <w:r>
        <w:rPr>
          <w:b w:val="0"/>
          <w:sz w:val="17"/>
        </w:rPr>
        <w:t>https://arxiv.org/abs/2110.01052</w:t>
      </w:r>
    </w:p>
    <w:p>
      <w:pPr>
        <w:keepNext/>
        <w:spacing w:after="0"/>
      </w:pPr>
      <w:r>
        <w:rPr>
          <w:b w:val="0"/>
          <w:sz w:val="18"/>
        </w:rPr>
        <w:t>[19] Temporal Leakage in Search-Engine Date-Filtered Web Retrieval A Retrospective Forecasting Case Study. ACL 2026.</w:t>
      </w:r>
    </w:p>
    <w:p>
      <w:pPr>
        <w:spacing w:after="100"/>
      </w:pPr>
      <w:r>
        <w:rPr>
          <w:b w:val="0"/>
          <w:sz w:val="17"/>
        </w:rPr>
        <w:t>https://aclanthology.org/2026.acl-short.65/</w:t>
      </w:r>
    </w:p>
    <w:sectPr w:rsidR="00FC693F" w:rsidRPr="0006063C" w:rsidSect="00034616">
      <w:footerReference w:type="default" r:id="rId9"/>
      <w:pgSz w:w="12240" w:h="15840"/>
      <w:pgMar w:top="965" w:right="1037" w:bottom="965"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Temporal RAG research directions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Algorithmic Research Directions for Temporal RAG</dc:title>
  <dc:subject>Research directions and experimental plan for WikiGraphRAG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