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jc w:val="center"/>
      </w:pPr>
      <w:r>
        <w:rPr>
          <w:rFonts w:ascii="Arial" w:cs="Arial" w:eastAsia="Arial" w:hAnsi="Arial"/>
          <w:sz w:val="10"/>
          <w:szCs w:val="10"/>
        </w:rPr>
        <w:t xml:space="preserve">  </w:t>
      </w:r>
    </w:p>
    <w:p>
      <w:pPr>
        <w:spacing w:after="80" w:before="240"/>
        <w:jc w:val="center"/>
      </w:pPr>
      <w:r>
        <w:rPr>
          <w:rFonts w:ascii="Arial" w:cs="Arial" w:eastAsia="Arial" w:hAnsi="Arial"/>
          <w:b/>
          <w:bCs/>
          <w:color w:val="1F3864"/>
          <w:sz w:val="40"/>
          <w:szCs w:val="40"/>
        </w:rPr>
        <w:t xml:space="preserve">EMPLOYEE TERMINATION POLICY</w:t>
      </w:r>
    </w:p>
    <w:p>
      <w:pPr>
        <w:spacing w:after="80"/>
        <w:jc w:val="center"/>
      </w:pPr>
      <w:r>
        <w:rPr>
          <w:rFonts w:ascii="Arial" w:cs="Arial" w:eastAsia="Arial" w:hAnsi="Arial"/>
          <w:color w:val="444444"/>
          <w:sz w:val="26"/>
          <w:szCs w:val="26"/>
        </w:rPr>
        <w:t xml:space="preserve">Grounds for Disciplinary Action &amp; Employment Termination</w:t>
      </w:r>
    </w:p>
    <w:p>
      <w:pPr>
        <w:spacing w:after="320"/>
        <w:jc w:val="center"/>
      </w:pPr>
      <w:r>
        <w:rPr>
          <w:rFonts w:ascii="Arial" w:cs="Arial" w:eastAsia="Arial" w:hAnsi="Arial"/>
          <w:color w:val="888888"/>
          <w:sz w:val="20"/>
          <w:szCs w:val="20"/>
        </w:rPr>
        <w:t xml:space="preserve">Human Resources | Version 3.2 | Effective: January 1, 2025</w:t>
      </w:r>
    </w:p>
    <w:p>
      <w:pPr>
        <w:pStyle w:val="Heading1"/>
        <w:pBdr>
          <w:bottom w:val="single" w:color="2E75B6" w:sz="6" w:space="4"/>
        </w:pBdr>
        <w:spacing w:after="160" w:before="400"/>
      </w:pPr>
      <w:r>
        <w:rPr>
          <w:rFonts w:ascii="Arial" w:cs="Arial" w:eastAsia="Arial" w:hAnsi="Arial"/>
          <w:b/>
          <w:bCs/>
          <w:color w:val="1F3864"/>
          <w:sz w:val="28"/>
          <w:szCs w:val="28"/>
        </w:rPr>
        <w:t xml:space="preserve">1. Purpose &amp; Scope</w:t>
      </w:r>
    </w:p>
    <w:p>
      <w:pPr>
        <w:spacing w:after="120"/>
      </w:pPr>
      <w:r>
        <w:rPr>
          <w:rFonts w:ascii="Arial" w:cs="Arial" w:eastAsia="Arial" w:hAnsi="Arial"/>
          <w:sz w:val="22"/>
          <w:szCs w:val="22"/>
        </w:rPr>
        <w:t xml:space="preserve">This policy sets forth the standards of conduct expected of all employees and defines the circumstances under which employment may be subject to disciplinary action, up to and including termination. It applies to all full-time, part-time, and contract employees of the Company, regardless of level or tenure.</w:t>
      </w:r>
    </w:p>
    <w:p>
      <w:pPr>
        <w:spacing w:after="120"/>
      </w:pPr>
      <w:r>
        <w:rPr>
          <w:rFonts w:ascii="Arial" w:cs="Arial" w:eastAsia="Arial" w:hAnsi="Arial"/>
          <w:sz w:val="22"/>
          <w:szCs w:val="22"/>
        </w:rPr>
        <w:t xml:space="preserve">The Company is committed to maintaining a safe, respectful, and productive work environment. Violations of Company policy, applicable law, or professional standards of conduct will be addressed consistently and in accordance with this policy.</w:t>
      </w:r>
    </w:p>
    <w:p>
      <w:pPr>
        <w:pStyle w:val="Heading1"/>
        <w:pBdr>
          <w:bottom w:val="single" w:color="2E75B6" w:sz="6" w:space="4"/>
        </w:pBdr>
        <w:spacing w:after="160" w:before="400"/>
      </w:pPr>
      <w:r>
        <w:rPr>
          <w:rFonts w:ascii="Arial" w:cs="Arial" w:eastAsia="Arial" w:hAnsi="Arial"/>
          <w:b/>
          <w:bCs/>
          <w:color w:val="1F3864"/>
          <w:sz w:val="28"/>
          <w:szCs w:val="28"/>
        </w:rPr>
        <w:t xml:space="preserve">2. Types of Termination</w:t>
      </w:r>
    </w:p>
    <w:p>
      <w:pPr>
        <w:pStyle w:val="Heading2"/>
        <w:spacing w:after="120" w:before="280"/>
      </w:pPr>
      <w:r>
        <w:rPr>
          <w:rFonts w:ascii="Arial" w:cs="Arial" w:eastAsia="Arial" w:hAnsi="Arial"/>
          <w:b/>
          <w:bCs/>
          <w:color w:val="2E75B6"/>
          <w:sz w:val="24"/>
          <w:szCs w:val="24"/>
        </w:rPr>
        <w:t xml:space="preserve">2.1  Termination for Cause (Involuntary)</w:t>
      </w:r>
    </w:p>
    <w:p>
      <w:pPr>
        <w:spacing w:after="120"/>
      </w:pPr>
      <w:r>
        <w:rPr>
          <w:rFonts w:ascii="Arial" w:cs="Arial" w:eastAsia="Arial" w:hAnsi="Arial"/>
          <w:sz w:val="22"/>
          <w:szCs w:val="22"/>
        </w:rPr>
        <w:t xml:space="preserve">Termination for cause occurs when an employee engages in conduct that violates Company policy, law, or accepted professional standards. Depending on the severity, this may be immediate or following a progressive discipline process.</w:t>
      </w:r>
    </w:p>
    <w:p>
      <w:pPr>
        <w:pStyle w:val="Heading2"/>
        <w:spacing w:after="120" w:before="280"/>
      </w:pPr>
      <w:r>
        <w:rPr>
          <w:rFonts w:ascii="Arial" w:cs="Arial" w:eastAsia="Arial" w:hAnsi="Arial"/>
          <w:b/>
          <w:bCs/>
          <w:color w:val="2E75B6"/>
          <w:sz w:val="24"/>
          <w:szCs w:val="24"/>
        </w:rPr>
        <w:t xml:space="preserve">2.2  Termination Without Cause</w:t>
      </w:r>
    </w:p>
    <w:p>
      <w:pPr>
        <w:spacing w:after="120"/>
      </w:pPr>
      <w:r>
        <w:rPr>
          <w:rFonts w:ascii="Arial" w:cs="Arial" w:eastAsia="Arial" w:hAnsi="Arial"/>
          <w:sz w:val="22"/>
          <w:szCs w:val="22"/>
        </w:rPr>
        <w:t xml:space="preserve">The Company may terminate employment at any time without cause, subject to applicable local laws and any contractual agreements. Affected employees will receive notice or pay in lieu of notice as required by law.</w:t>
      </w:r>
    </w:p>
    <w:p>
      <w:pPr>
        <w:pStyle w:val="Heading2"/>
        <w:spacing w:after="120" w:before="280"/>
      </w:pPr>
      <w:r>
        <w:rPr>
          <w:rFonts w:ascii="Arial" w:cs="Arial" w:eastAsia="Arial" w:hAnsi="Arial"/>
          <w:b/>
          <w:bCs/>
          <w:color w:val="2E75B6"/>
          <w:sz w:val="24"/>
          <w:szCs w:val="24"/>
        </w:rPr>
        <w:t xml:space="preserve">2.3  Voluntary Resignation</w:t>
      </w:r>
    </w:p>
    <w:p>
      <w:pPr>
        <w:spacing w:after="120"/>
      </w:pPr>
      <w:r>
        <w:rPr>
          <w:rFonts w:ascii="Arial" w:cs="Arial" w:eastAsia="Arial" w:hAnsi="Arial"/>
          <w:sz w:val="22"/>
          <w:szCs w:val="22"/>
        </w:rPr>
        <w:t xml:space="preserve">Employees who voluntarily resign are expected to provide a minimum of two weeks' written notice. Failure to do so may affect eligibility for rehire and certain separation benefits.</w:t>
      </w:r>
    </w:p>
    <w:p>
      <w:pPr>
        <w:pStyle w:val="Heading2"/>
        <w:spacing w:after="120" w:before="280"/>
      </w:pPr>
      <w:r>
        <w:rPr>
          <w:rFonts w:ascii="Arial" w:cs="Arial" w:eastAsia="Arial" w:hAnsi="Arial"/>
          <w:b/>
          <w:bCs/>
          <w:color w:val="2E75B6"/>
          <w:sz w:val="24"/>
          <w:szCs w:val="24"/>
        </w:rPr>
        <w:t xml:space="preserve">2.4  Layoffs / Reduction in Force (RIF)</w:t>
      </w:r>
    </w:p>
    <w:p>
      <w:pPr>
        <w:spacing w:after="120"/>
      </w:pPr>
      <w:r>
        <w:rPr>
          <w:rFonts w:ascii="Arial" w:cs="Arial" w:eastAsia="Arial" w:hAnsi="Arial"/>
          <w:sz w:val="22"/>
          <w:szCs w:val="22"/>
        </w:rPr>
        <w:t xml:space="preserve">Layoffs are business-driven decisions unrelated to individual performance or conduct. Employees affected by a RIF are typically eligible for severance packages and are considered in good standing for rehire purposes.</w:t>
      </w:r>
    </w:p>
    <w:p>
      <w:pPr>
        <w:pStyle w:val="Heading1"/>
        <w:pBdr>
          <w:bottom w:val="single" w:color="2E75B6" w:sz="6" w:space="4"/>
        </w:pBdr>
        <w:spacing w:after="160" w:before="400"/>
      </w:pPr>
      <w:r>
        <w:rPr>
          <w:rFonts w:ascii="Arial" w:cs="Arial" w:eastAsia="Arial" w:hAnsi="Arial"/>
          <w:b/>
          <w:bCs/>
          <w:color w:val="1F3864"/>
          <w:sz w:val="28"/>
          <w:szCs w:val="28"/>
        </w:rPr>
        <w:t xml:space="preserve">3. Progressive Discipline Framework</w:t>
      </w:r>
    </w:p>
    <w:p>
      <w:pPr>
        <w:spacing w:after="120"/>
      </w:pPr>
      <w:r>
        <w:rPr>
          <w:rFonts w:ascii="Arial" w:cs="Arial" w:eastAsia="Arial" w:hAnsi="Arial"/>
          <w:sz w:val="22"/>
          <w:szCs w:val="22"/>
        </w:rPr>
        <w:t xml:space="preserve">For non-egregious violations, the Company generally follows a progressive discipline process. However, the Company reserves the right to skip any step, including proceeding directly to termination, based on the severity of the offense.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Documentation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HR Involvement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Timeframe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Verbal 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Manager notes in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Optional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Minor first offenses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Written Warning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Signed written notice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Recommended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Repeat or moderate offenses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Performance Improvement Plan (PIP)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Formal PIP document with goals &amp; timeline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30–90 day improvement period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Final Written Warning / Suspension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Final warning or unpaid suspension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Required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Serious or continued violations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Termination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Termination letter &amp; separation docs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Failure to improve or severe violation</w:t>
            </w:r>
          </w:p>
        </w:tc>
      </w:tr>
    </w:tbl>
    <w:p>
      <w:pPr>
        <w:spacing w:after="200"/>
      </w:pPr>
    </w:p>
    <w:p>
      <w:pPr>
        <w:pStyle w:val="Heading1"/>
        <w:pBdr>
          <w:bottom w:val="single" w:color="2E75B6" w:sz="6" w:space="4"/>
        </w:pBdr>
        <w:spacing w:after="160" w:before="400"/>
      </w:pPr>
      <w:r>
        <w:rPr>
          <w:rFonts w:ascii="Arial" w:cs="Arial" w:eastAsia="Arial" w:hAnsi="Arial"/>
          <w:b/>
          <w:bCs/>
          <w:color w:val="1F3864"/>
          <w:sz w:val="28"/>
          <w:szCs w:val="28"/>
        </w:rPr>
        <w:t xml:space="preserve">4. Grounds for Disciplinary Action &amp; Termination</w:t>
      </w:r>
    </w:p>
    <w:p>
      <w:pPr>
        <w:spacing w:after="120"/>
      </w:pPr>
      <w:r>
        <w:rPr>
          <w:rFonts w:ascii="Arial" w:cs="Arial" w:eastAsia="Arial" w:hAnsi="Arial"/>
          <w:sz w:val="22"/>
          <w:szCs w:val="22"/>
        </w:rPr>
        <w:t xml:space="preserve">The following categories constitute grounds for disciplinary action up to and including immediate termination. Severity classifications are noted: Immediate (single incident may result in termination), Progressive (typically follows disciplinary steps), or Case-by-Case (evaluated on individual circumstances).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Offense Category</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Severity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Workplace Violence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Physical assault, threats, intimidation, possession of weapons on premises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Sexual Harassment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1"/>
                <w:szCs w:val="21"/>
              </w:rPr>
              <w:t xml:space="preserve">Unwanted advances, quid pro quo, hostile work environment based on sex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Harassment &amp; Discrimination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Discriminatory conduct based on protected class (race, gender, religion, disability, etc.)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Fraud &amp; Dishonesty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1"/>
                <w:szCs w:val="21"/>
              </w:rPr>
              <w:t xml:space="preserve">Falsifying records, expense fraud, lying during investigations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Theft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Stealing company/employee property, misappropriating funds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Substance Abuse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1"/>
                <w:szCs w:val="21"/>
              </w:rPr>
              <w:t xml:space="preserve">Being under the influence of drugs/alcohol on premises or during work hours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Insubordination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Refusal to follow lawful directives, open defiance of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95959"/>
                <w:sz w:val="21"/>
                <w:szCs w:val="21"/>
              </w:rPr>
              <w:t xml:space="preserve">Case-by-Case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Misconduct / Unprofessional Behavior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1"/>
                <w:szCs w:val="21"/>
              </w:rPr>
              <w:t xml:space="preserve">Bullying, abusive language, repeated disruptive conduct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E36C09"/>
                <w:sz w:val="21"/>
                <w:szCs w:val="21"/>
              </w:rPr>
              <w:t xml:space="preserve">Progressive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Data &amp; Security Breach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Unauthorized access to systems, sharing confidential data, policy violations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Conflict of Interest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1"/>
                <w:szCs w:val="21"/>
              </w:rPr>
              <w:t xml:space="preserve">Undisclosed outside employment, financial interests conflicting with duties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595959"/>
                <w:sz w:val="21"/>
                <w:szCs w:val="21"/>
              </w:rPr>
              <w:t xml:space="preserve">Case-by-Case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Attendance &amp; Reliability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Chronic absenteeism, no-call no-show, excessive tardiness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36C09"/>
                <w:sz w:val="21"/>
                <w:szCs w:val="21"/>
              </w:rPr>
              <w:t xml:space="preserve">Progressive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Performance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1"/>
                <w:szCs w:val="21"/>
              </w:rPr>
              <w:t xml:space="preserve">Sustained failure to meet defined job requirements after coaching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E36C09"/>
                <w:sz w:val="21"/>
                <w:szCs w:val="21"/>
              </w:rPr>
              <w:t xml:space="preserve">Progressive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Policy Violations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Repeated violations of Company policies (IT, expense, code of conduct)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36C09"/>
                <w:sz w:val="21"/>
                <w:szCs w:val="21"/>
              </w:rPr>
              <w:t xml:space="preserve">Progressive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Retaliation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1"/>
                <w:szCs w:val="21"/>
              </w:rPr>
              <w:t xml:space="preserve">Penalizing employees for protected activity (reporting, whistleblowing, etc.)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0000"/>
                <w:sz w:val="21"/>
                <w:szCs w:val="21"/>
              </w:rPr>
              <w:t xml:space="preserve">Immediate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1"/>
                <w:szCs w:val="21"/>
              </w:rPr>
              <w:t xml:space="preserve">Social Media Violations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Sharing confidential info, harassing colleagues, defaming company online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95959"/>
                <w:sz w:val="21"/>
                <w:szCs w:val="21"/>
              </w:rPr>
              <w:t xml:space="preserve">Case-by-Case</w:t>
            </w:r>
          </w:p>
        </w:tc>
      </w:tr>
    </w:tbl>
    <w:p>
      <w:pPr>
        <w:spacing w:after="200"/>
      </w:pPr>
    </w:p>
    <w:p>
      <w:pPr>
        <w:pStyle w:val="Heading1"/>
        <w:pBdr>
          <w:bottom w:val="single" w:color="2E75B6" w:sz="6" w:space="4"/>
        </w:pBdr>
        <w:spacing w:after="160" w:before="400"/>
      </w:pPr>
      <w:r>
        <w:rPr>
          <w:rFonts w:ascii="Arial" w:cs="Arial" w:eastAsia="Arial" w:hAnsi="Arial"/>
          <w:b/>
          <w:bCs/>
          <w:color w:val="1F3864"/>
          <w:sz w:val="28"/>
          <w:szCs w:val="28"/>
        </w:rPr>
        <w:t xml:space="preserve">5. Detailed Grounds — Policies &amp; Examples</w:t>
      </w:r>
    </w:p>
    <w:p>
      <w:pPr>
        <w:pStyle w:val="Heading2"/>
        <w:spacing w:after="120" w:before="280"/>
      </w:pPr>
      <w:r>
        <w:rPr>
          <w:rFonts w:ascii="Arial" w:cs="Arial" w:eastAsia="Arial" w:hAnsi="Arial"/>
          <w:b/>
          <w:bCs/>
          <w:color w:val="2E75B6"/>
          <w:sz w:val="24"/>
          <w:szCs w:val="24"/>
        </w:rPr>
        <w:t xml:space="preserve">5.1  Workplace Violence &amp; Threats</w:t>
      </w:r>
    </w:p>
    <w:p>
      <w:pPr>
        <w:spacing w:after="120"/>
      </w:pPr>
      <w:r>
        <w:rPr>
          <w:rFonts w:ascii="Arial" w:cs="Arial" w:eastAsia="Arial" w:hAnsi="Arial"/>
          <w:sz w:val="22"/>
          <w:szCs w:val="22"/>
        </w:rPr>
        <w:t xml:space="preserve">The Company maintains a strict zero-tolerance policy for violence, threats of violence, intimidation, or any behavior that creates a reasonable fear of harm. This includes:</w:t>
      </w:r>
    </w:p>
    <w:p>
      <w:pPr>
        <w:pStyle w:val="ListParagraph"/>
        <w:numPr>
          <w:ilvl w:val="0"/>
          <w:numId w:val="2"/>
        </w:numPr>
        <w:spacing w:after="80"/>
      </w:pPr>
      <w:r>
        <w:rPr>
          <w:rFonts w:ascii="Arial" w:cs="Arial" w:eastAsia="Arial" w:hAnsi="Arial"/>
          <w:sz w:val="22"/>
          <w:szCs w:val="22"/>
        </w:rPr>
        <w:t xml:space="preserve">Physical assault or battery of any employee, visitor, vendor, or customer</w:t>
      </w:r>
    </w:p>
    <w:p>
      <w:pPr>
        <w:pStyle w:val="ListParagraph"/>
        <w:numPr>
          <w:ilvl w:val="0"/>
          <w:numId w:val="2"/>
        </w:numPr>
        <w:spacing w:after="80"/>
      </w:pPr>
      <w:r>
        <w:rPr>
          <w:rFonts w:ascii="Arial" w:cs="Arial" w:eastAsia="Arial" w:hAnsi="Arial"/>
          <w:sz w:val="22"/>
          <w:szCs w:val="22"/>
        </w:rPr>
        <w:t xml:space="preserve">Verbal or written threats, including threats communicated via email, messaging platforms, or social media</w:t>
      </w:r>
    </w:p>
    <w:p>
      <w:pPr>
        <w:pStyle w:val="ListParagraph"/>
        <w:numPr>
          <w:ilvl w:val="0"/>
          <w:numId w:val="2"/>
        </w:numPr>
        <w:spacing w:after="80"/>
      </w:pPr>
      <w:r>
        <w:rPr>
          <w:rFonts w:ascii="Arial" w:cs="Arial" w:eastAsia="Arial" w:hAnsi="Arial"/>
          <w:sz w:val="22"/>
          <w:szCs w:val="22"/>
        </w:rPr>
        <w:t xml:space="preserve">Possession, display, or use of weapons on Company premises or at Company-sponsored events</w:t>
      </w:r>
    </w:p>
    <w:p>
      <w:pPr>
        <w:pStyle w:val="ListParagraph"/>
        <w:numPr>
          <w:ilvl w:val="0"/>
          <w:numId w:val="2"/>
        </w:numPr>
        <w:spacing w:after="80"/>
      </w:pPr>
      <w:r>
        <w:rPr>
          <w:rFonts w:ascii="Arial" w:cs="Arial" w:eastAsia="Arial" w:hAnsi="Arial"/>
          <w:sz w:val="22"/>
          <w:szCs w:val="22"/>
        </w:rPr>
        <w:t xml:space="preserve">Stalking, menacing, or harassing behavior that creates a hostile environment</w:t>
      </w:r>
    </w:p>
    <w:p>
      <w:pPr>
        <w:pStyle w:val="ListParagraph"/>
        <w:numPr>
          <w:ilvl w:val="0"/>
          <w:numId w:val="2"/>
        </w:numPr>
        <w:spacing w:after="80"/>
      </w:pPr>
      <w:r>
        <w:rPr>
          <w:rFonts w:ascii="Arial" w:cs="Arial" w:eastAsia="Arial" w:hAnsi="Arial"/>
          <w:sz w:val="22"/>
          <w:szCs w:val="22"/>
        </w:rPr>
        <w:t xml:space="preserve">Destruction of Company or personal property as an act of aggression</w:t>
      </w:r>
    </w:p>
    <w:p>
      <w:pPr>
        <w:spacing w:after="120"/>
      </w:pPr>
      <w:r>
        <w:rPr>
          <w:rFonts w:ascii="Arial" w:cs="Arial" w:eastAsia="Arial" w:hAnsi="Arial"/>
          <w:sz w:val="22"/>
          <w:szCs w:val="22"/>
        </w:rPr>
        <w:t xml:space="preserve">Violations of this policy will result in immediate termination and may be reported to law enforcement.</w:t>
      </w:r>
    </w:p>
    <w:p>
      <w:pPr>
        <w:pStyle w:val="Heading2"/>
        <w:spacing w:after="120" w:before="280"/>
      </w:pPr>
      <w:r>
        <w:rPr>
          <w:rFonts w:ascii="Arial" w:cs="Arial" w:eastAsia="Arial" w:hAnsi="Arial"/>
          <w:b/>
          <w:bCs/>
          <w:color w:val="2E75B6"/>
          <w:sz w:val="24"/>
          <w:szCs w:val="24"/>
        </w:rPr>
        <w:t xml:space="preserve">5.2  Sexual Harassment</w:t>
      </w:r>
    </w:p>
    <w:p>
      <w:pPr>
        <w:spacing w:after="120"/>
      </w:pPr>
      <w:r>
        <w:rPr>
          <w:rFonts w:ascii="Arial" w:cs="Arial" w:eastAsia="Arial" w:hAnsi="Arial"/>
          <w:sz w:val="22"/>
          <w:szCs w:val="22"/>
        </w:rPr>
        <w:t xml:space="preserve">Sexual harassment is unlawful and will not be tolerated in any form. The Company recognizes two primary forms:</w:t>
      </w:r>
    </w:p>
    <w:p>
      <w:pPr>
        <w:pStyle w:val="ListParagraph"/>
        <w:numPr>
          <w:ilvl w:val="0"/>
          <w:numId w:val="2"/>
        </w:numPr>
        <w:spacing w:after="80"/>
      </w:pPr>
      <w:r>
        <w:rPr>
          <w:rFonts w:ascii="Arial" w:cs="Arial" w:eastAsia="Arial" w:hAnsi="Arial"/>
          <w:b/>
          <w:bCs/>
          <w:sz w:val="22"/>
          <w:szCs w:val="22"/>
        </w:rPr>
        <w:t xml:space="preserve">Conditioning employment decisions (hiring, promotion, pay) on submission to sexual conduct: </w:t>
      </w:r>
      <w:r>
        <w:rPr>
          <w:rFonts w:ascii="Arial" w:cs="Arial" w:eastAsia="Arial" w:hAnsi="Arial"/>
          <w:sz w:val="22"/>
          <w:szCs w:val="22"/>
        </w:rPr>
        <w:t xml:space="preserve">Quid Pro Quo</w:t>
      </w:r>
    </w:p>
    <w:p>
      <w:pPr>
        <w:pStyle w:val="ListParagraph"/>
        <w:numPr>
          <w:ilvl w:val="0"/>
          <w:numId w:val="2"/>
        </w:numPr>
        <w:spacing w:after="80"/>
      </w:pPr>
      <w:r>
        <w:rPr>
          <w:rFonts w:ascii="Arial" w:cs="Arial" w:eastAsia="Arial" w:hAnsi="Arial"/>
          <w:b/>
          <w:bCs/>
          <w:sz w:val="22"/>
          <w:szCs w:val="22"/>
        </w:rPr>
        <w:t xml:space="preserve">Unwelcome conduct of a sexual nature that is severe or pervasive enough to alter working conditions: </w:t>
      </w:r>
      <w:r>
        <w:rPr>
          <w:rFonts w:ascii="Arial" w:cs="Arial" w:eastAsia="Arial" w:hAnsi="Arial"/>
          <w:sz w:val="22"/>
          <w:szCs w:val="22"/>
        </w:rPr>
        <w:t xml:space="preserve">Hostile Work Environment</w:t>
      </w:r>
    </w:p>
    <w:p>
      <w:pPr>
        <w:spacing w:after="120"/>
      </w:pPr>
      <w:r>
        <w:rPr>
          <w:rFonts w:ascii="Arial" w:cs="Arial" w:eastAsia="Arial" w:hAnsi="Arial"/>
          <w:sz w:val="22"/>
          <w:szCs w:val="22"/>
        </w:rPr>
        <w:t xml:space="preserve">Examples of prohibited conduct include: unwanted touching, sexual comments or jokes, displaying sexually explicit materials, sending inappropriate digital content, and unwelcome romantic pursuit. All complaints will be investigated promptly and confidentially.</w:t>
      </w:r>
    </w:p>
    <w:p>
      <w:pPr>
        <w:pStyle w:val="Heading2"/>
        <w:spacing w:after="120" w:before="280"/>
      </w:pPr>
      <w:r>
        <w:rPr>
          <w:rFonts w:ascii="Arial" w:cs="Arial" w:eastAsia="Arial" w:hAnsi="Arial"/>
          <w:b/>
          <w:bCs/>
          <w:color w:val="2E75B6"/>
          <w:sz w:val="24"/>
          <w:szCs w:val="24"/>
        </w:rPr>
        <w:t xml:space="preserve">5.3  Harassment &amp; Discrimination</w:t>
      </w:r>
    </w:p>
    <w:p>
      <w:pPr>
        <w:spacing w:after="120"/>
      </w:pPr>
      <w:r>
        <w:rPr>
          <w:rFonts w:ascii="Arial" w:cs="Arial" w:eastAsia="Arial" w:hAnsi="Arial"/>
          <w:sz w:val="22"/>
          <w:szCs w:val="22"/>
        </w:rPr>
        <w:t xml:space="preserve">Harassment based on any protected characteristic — including race, color, religion, sex, national origin, age, disability, sexual orientation, gender identity, marital status, or veteran status — is prohibited. Protected characteristics are defined by applicable federal, state, and local laws.</w:t>
      </w:r>
    </w:p>
    <w:p>
      <w:pPr>
        <w:pStyle w:val="ListParagraph"/>
        <w:numPr>
          <w:ilvl w:val="0"/>
          <w:numId w:val="2"/>
        </w:numPr>
        <w:spacing w:after="80"/>
      </w:pPr>
      <w:r>
        <w:rPr>
          <w:rFonts w:ascii="Arial" w:cs="Arial" w:eastAsia="Arial" w:hAnsi="Arial"/>
          <w:sz w:val="22"/>
          <w:szCs w:val="22"/>
        </w:rPr>
        <w:t xml:space="preserve">Slurs, derogatory remarks, or jokes targeting protected classes</w:t>
      </w:r>
    </w:p>
    <w:p>
      <w:pPr>
        <w:pStyle w:val="ListParagraph"/>
        <w:numPr>
          <w:ilvl w:val="0"/>
          <w:numId w:val="2"/>
        </w:numPr>
        <w:spacing w:after="80"/>
      </w:pPr>
      <w:r>
        <w:rPr>
          <w:rFonts w:ascii="Arial" w:cs="Arial" w:eastAsia="Arial" w:hAnsi="Arial"/>
          <w:sz w:val="22"/>
          <w:szCs w:val="22"/>
        </w:rPr>
        <w:t xml:space="preserve">Exclusion from meetings, opportunities, or work activities based on protected characteristics</w:t>
      </w:r>
    </w:p>
    <w:p>
      <w:pPr>
        <w:pStyle w:val="ListParagraph"/>
        <w:numPr>
          <w:ilvl w:val="0"/>
          <w:numId w:val="2"/>
        </w:numPr>
        <w:spacing w:after="80"/>
      </w:pPr>
      <w:r>
        <w:rPr>
          <w:rFonts w:ascii="Arial" w:cs="Arial" w:eastAsia="Arial" w:hAnsi="Arial"/>
          <w:sz w:val="22"/>
          <w:szCs w:val="22"/>
        </w:rPr>
        <w:t xml:space="preserve">Displaying or distributing offensive materials</w:t>
      </w:r>
    </w:p>
    <w:p>
      <w:pPr>
        <w:pStyle w:val="ListParagraph"/>
        <w:numPr>
          <w:ilvl w:val="0"/>
          <w:numId w:val="2"/>
        </w:numPr>
        <w:spacing w:after="80"/>
      </w:pPr>
      <w:r>
        <w:rPr>
          <w:rFonts w:ascii="Arial" w:cs="Arial" w:eastAsia="Arial" w:hAnsi="Arial"/>
          <w:sz w:val="22"/>
          <w:szCs w:val="22"/>
        </w:rPr>
        <w:t xml:space="preserve">Differential treatment in performance reviews, assignments, or disciplinary actions</w:t>
      </w:r>
    </w:p>
    <w:p>
      <w:pPr>
        <w:pStyle w:val="Heading2"/>
        <w:spacing w:after="120" w:before="280"/>
      </w:pPr>
      <w:r>
        <w:rPr>
          <w:rFonts w:ascii="Arial" w:cs="Arial" w:eastAsia="Arial" w:hAnsi="Arial"/>
          <w:b/>
          <w:bCs/>
          <w:color w:val="2E75B6"/>
          <w:sz w:val="24"/>
          <w:szCs w:val="24"/>
        </w:rPr>
        <w:t xml:space="preserve">5.4  Fraud, Dishonesty &amp; Falsification</w:t>
      </w:r>
    </w:p>
    <w:p>
      <w:pPr>
        <w:spacing w:after="120"/>
      </w:pPr>
      <w:r>
        <w:rPr>
          <w:rFonts w:ascii="Arial" w:cs="Arial" w:eastAsia="Arial" w:hAnsi="Arial"/>
          <w:sz w:val="22"/>
          <w:szCs w:val="22"/>
        </w:rPr>
        <w:t xml:space="preserve">Integrity is a core Company value. Any act of fraud or intentional dishonesty is grounds for immediate termination and potential legal action. This includes:</w:t>
      </w:r>
    </w:p>
    <w:p>
      <w:pPr>
        <w:pStyle w:val="ListParagraph"/>
        <w:numPr>
          <w:ilvl w:val="0"/>
          <w:numId w:val="2"/>
        </w:numPr>
        <w:spacing w:after="80"/>
      </w:pPr>
      <w:r>
        <w:rPr>
          <w:rFonts w:ascii="Arial" w:cs="Arial" w:eastAsia="Arial" w:hAnsi="Arial"/>
          <w:sz w:val="22"/>
          <w:szCs w:val="22"/>
        </w:rPr>
        <w:t xml:space="preserve">Falsifying timesheets, expense reports, or financial records</w:t>
      </w:r>
    </w:p>
    <w:p>
      <w:pPr>
        <w:pStyle w:val="ListParagraph"/>
        <w:numPr>
          <w:ilvl w:val="0"/>
          <w:numId w:val="2"/>
        </w:numPr>
        <w:spacing w:after="80"/>
      </w:pPr>
      <w:r>
        <w:rPr>
          <w:rFonts w:ascii="Arial" w:cs="Arial" w:eastAsia="Arial" w:hAnsi="Arial"/>
          <w:sz w:val="22"/>
          <w:szCs w:val="22"/>
        </w:rPr>
        <w:t xml:space="preserve">Submitting false information on employment applications or during HR processes</w:t>
      </w:r>
    </w:p>
    <w:p>
      <w:pPr>
        <w:pStyle w:val="ListParagraph"/>
        <w:numPr>
          <w:ilvl w:val="0"/>
          <w:numId w:val="2"/>
        </w:numPr>
        <w:spacing w:after="80"/>
      </w:pPr>
      <w:r>
        <w:rPr>
          <w:rFonts w:ascii="Arial" w:cs="Arial" w:eastAsia="Arial" w:hAnsi="Arial"/>
          <w:sz w:val="22"/>
          <w:szCs w:val="22"/>
        </w:rPr>
        <w:t xml:space="preserve">Providing false testimony or misleading information during internal investigations</w:t>
      </w:r>
    </w:p>
    <w:p>
      <w:pPr>
        <w:pStyle w:val="ListParagraph"/>
        <w:numPr>
          <w:ilvl w:val="0"/>
          <w:numId w:val="2"/>
        </w:numPr>
        <w:spacing w:after="80"/>
      </w:pPr>
      <w:r>
        <w:rPr>
          <w:rFonts w:ascii="Arial" w:cs="Arial" w:eastAsia="Arial" w:hAnsi="Arial"/>
          <w:sz w:val="22"/>
          <w:szCs w:val="22"/>
        </w:rPr>
        <w:t xml:space="preserve">Forgery of documents, signatures, or approvals</w:t>
      </w:r>
    </w:p>
    <w:p>
      <w:pPr>
        <w:pStyle w:val="ListParagraph"/>
        <w:numPr>
          <w:ilvl w:val="0"/>
          <w:numId w:val="2"/>
        </w:numPr>
        <w:spacing w:after="80"/>
      </w:pPr>
      <w:r>
        <w:rPr>
          <w:rFonts w:ascii="Arial" w:cs="Arial" w:eastAsia="Arial" w:hAnsi="Arial"/>
          <w:sz w:val="22"/>
          <w:szCs w:val="22"/>
        </w:rPr>
        <w:t xml:space="preserve">Misrepresenting credentials, certifications, or qualifications</w:t>
      </w:r>
    </w:p>
    <w:p>
      <w:pPr>
        <w:pStyle w:val="ListParagraph"/>
        <w:numPr>
          <w:ilvl w:val="0"/>
          <w:numId w:val="2"/>
        </w:numPr>
        <w:spacing w:after="80"/>
      </w:pPr>
      <w:r>
        <w:rPr>
          <w:rFonts w:ascii="Arial" w:cs="Arial" w:eastAsia="Arial" w:hAnsi="Arial"/>
          <w:sz w:val="22"/>
          <w:szCs w:val="22"/>
        </w:rPr>
        <w:t xml:space="preserve">Unauthorized alteration of Company data, financial systems, or records</w:t>
      </w:r>
    </w:p>
    <w:p>
      <w:pPr>
        <w:pStyle w:val="Heading2"/>
        <w:spacing w:after="120" w:before="280"/>
      </w:pPr>
      <w:r>
        <w:rPr>
          <w:rFonts w:ascii="Arial" w:cs="Arial" w:eastAsia="Arial" w:hAnsi="Arial"/>
          <w:b/>
          <w:bCs/>
          <w:color w:val="2E75B6"/>
          <w:sz w:val="24"/>
          <w:szCs w:val="24"/>
        </w:rPr>
        <w:t xml:space="preserve">5.5  Theft &amp; Misappropriation</w:t>
      </w:r>
    </w:p>
    <w:p>
      <w:pPr>
        <w:spacing w:after="120"/>
      </w:pPr>
      <w:r>
        <w:rPr>
          <w:rFonts w:ascii="Arial" w:cs="Arial" w:eastAsia="Arial" w:hAnsi="Arial"/>
          <w:sz w:val="22"/>
          <w:szCs w:val="22"/>
        </w:rPr>
        <w:t xml:space="preserve">Theft of any kind — whether of physical property, intellectual property, or financial assets — is grounds for immediate termination and referral to law enforcement. This includes:</w:t>
      </w:r>
    </w:p>
    <w:p>
      <w:pPr>
        <w:pStyle w:val="ListParagraph"/>
        <w:numPr>
          <w:ilvl w:val="0"/>
          <w:numId w:val="2"/>
        </w:numPr>
        <w:spacing w:after="80"/>
      </w:pPr>
      <w:r>
        <w:rPr>
          <w:rFonts w:ascii="Arial" w:cs="Arial" w:eastAsia="Arial" w:hAnsi="Arial"/>
          <w:sz w:val="22"/>
          <w:szCs w:val="22"/>
        </w:rPr>
        <w:t xml:space="preserve">Stealing money, equipment, products, or any other physical property from the Company or colleagues</w:t>
      </w:r>
    </w:p>
    <w:p>
      <w:pPr>
        <w:pStyle w:val="ListParagraph"/>
        <w:numPr>
          <w:ilvl w:val="0"/>
          <w:numId w:val="2"/>
        </w:numPr>
        <w:spacing w:after="80"/>
      </w:pPr>
      <w:r>
        <w:rPr>
          <w:rFonts w:ascii="Arial" w:cs="Arial" w:eastAsia="Arial" w:hAnsi="Arial"/>
          <w:sz w:val="22"/>
          <w:szCs w:val="22"/>
        </w:rPr>
        <w:t xml:space="preserve">Misappropriating Company funds or assets for personal use</w:t>
      </w:r>
    </w:p>
    <w:p>
      <w:pPr>
        <w:pStyle w:val="ListParagraph"/>
        <w:numPr>
          <w:ilvl w:val="0"/>
          <w:numId w:val="2"/>
        </w:numPr>
        <w:spacing w:after="80"/>
      </w:pPr>
      <w:r>
        <w:rPr>
          <w:rFonts w:ascii="Arial" w:cs="Arial" w:eastAsia="Arial" w:hAnsi="Arial"/>
          <w:sz w:val="22"/>
          <w:szCs w:val="22"/>
        </w:rPr>
        <w:t xml:space="preserve">Unauthorized removal of confidential information, source code, or trade secrets</w:t>
      </w:r>
    </w:p>
    <w:p>
      <w:pPr>
        <w:pStyle w:val="ListParagraph"/>
        <w:numPr>
          <w:ilvl w:val="0"/>
          <w:numId w:val="2"/>
        </w:numPr>
        <w:spacing w:after="80"/>
      </w:pPr>
      <w:r>
        <w:rPr>
          <w:rFonts w:ascii="Arial" w:cs="Arial" w:eastAsia="Arial" w:hAnsi="Arial"/>
          <w:sz w:val="22"/>
          <w:szCs w:val="22"/>
        </w:rPr>
        <w:t xml:space="preserve">Using Company resources (compute, tools, subscriptions) for personal commercial gain</w:t>
      </w:r>
    </w:p>
    <w:p>
      <w:pPr>
        <w:pStyle w:val="ListParagraph"/>
        <w:numPr>
          <w:ilvl w:val="0"/>
          <w:numId w:val="2"/>
        </w:numPr>
        <w:spacing w:after="80"/>
      </w:pPr>
      <w:r>
        <w:rPr>
          <w:rFonts w:ascii="Arial" w:cs="Arial" w:eastAsia="Arial" w:hAnsi="Arial"/>
          <w:sz w:val="22"/>
          <w:szCs w:val="22"/>
        </w:rPr>
        <w:t xml:space="preserve">Padding expense reports or submitting fraudulent receipts</w:t>
      </w:r>
    </w:p>
    <w:p>
      <w:pPr>
        <w:pStyle w:val="Heading2"/>
        <w:spacing w:after="120" w:before="280"/>
      </w:pPr>
      <w:r>
        <w:rPr>
          <w:rFonts w:ascii="Arial" w:cs="Arial" w:eastAsia="Arial" w:hAnsi="Arial"/>
          <w:b/>
          <w:bCs/>
          <w:color w:val="2E75B6"/>
          <w:sz w:val="24"/>
          <w:szCs w:val="24"/>
        </w:rPr>
        <w:t xml:space="preserve">5.6  Insubordination</w:t>
      </w:r>
    </w:p>
    <w:p>
      <w:pPr>
        <w:spacing w:after="120"/>
      </w:pPr>
      <w:r>
        <w:rPr>
          <w:rFonts w:ascii="Arial" w:cs="Arial" w:eastAsia="Arial" w:hAnsi="Arial"/>
          <w:sz w:val="22"/>
          <w:szCs w:val="22"/>
        </w:rPr>
        <w:t xml:space="preserve">Insubordination refers to willful refusal to comply with reasonable and lawful instructions from a supervisor or management. Context and intent are considered. Examples include:</w:t>
      </w:r>
    </w:p>
    <w:p>
      <w:pPr>
        <w:pStyle w:val="ListParagraph"/>
        <w:numPr>
          <w:ilvl w:val="0"/>
          <w:numId w:val="2"/>
        </w:numPr>
        <w:spacing w:after="80"/>
      </w:pPr>
      <w:r>
        <w:rPr>
          <w:rFonts w:ascii="Arial" w:cs="Arial" w:eastAsia="Arial" w:hAnsi="Arial"/>
          <w:sz w:val="22"/>
          <w:szCs w:val="22"/>
        </w:rPr>
        <w:t xml:space="preserve">Refusing to carry out a direct, reasonable work-related instruction without legitimate justification</w:t>
      </w:r>
    </w:p>
    <w:p>
      <w:pPr>
        <w:pStyle w:val="ListParagraph"/>
        <w:numPr>
          <w:ilvl w:val="0"/>
          <w:numId w:val="2"/>
        </w:numPr>
        <w:spacing w:after="80"/>
      </w:pPr>
      <w:r>
        <w:rPr>
          <w:rFonts w:ascii="Arial" w:cs="Arial" w:eastAsia="Arial" w:hAnsi="Arial"/>
          <w:sz w:val="22"/>
          <w:szCs w:val="22"/>
        </w:rPr>
        <w:t xml:space="preserve">Openly challenging or defying authority in a disruptive manner</w:t>
      </w:r>
    </w:p>
    <w:p>
      <w:pPr>
        <w:pStyle w:val="ListParagraph"/>
        <w:numPr>
          <w:ilvl w:val="0"/>
          <w:numId w:val="2"/>
        </w:numPr>
        <w:spacing w:after="80"/>
      </w:pPr>
      <w:r>
        <w:rPr>
          <w:rFonts w:ascii="Arial" w:cs="Arial" w:eastAsia="Arial" w:hAnsi="Arial"/>
          <w:sz w:val="22"/>
          <w:szCs w:val="22"/>
        </w:rPr>
        <w:t xml:space="preserve">Using disrespectful, threatening, or profane language toward management</w:t>
      </w:r>
    </w:p>
    <w:p>
      <w:pPr>
        <w:pStyle w:val="ListParagraph"/>
        <w:numPr>
          <w:ilvl w:val="0"/>
          <w:numId w:val="2"/>
        </w:numPr>
        <w:spacing w:after="80"/>
      </w:pPr>
      <w:r>
        <w:rPr>
          <w:rFonts w:ascii="Arial" w:cs="Arial" w:eastAsia="Arial" w:hAnsi="Arial"/>
          <w:sz w:val="22"/>
          <w:szCs w:val="22"/>
        </w:rPr>
        <w:t xml:space="preserve">Deliberately ignoring established procedures after being formally instructed to follow them</w:t>
      </w:r>
    </w:p>
    <w:p>
      <w:pPr>
        <w:spacing w:after="120"/>
      </w:pPr>
      <w:r>
        <w:rPr>
          <w:rFonts w:ascii="Arial" w:cs="Arial" w:eastAsia="Arial" w:hAnsi="Arial"/>
          <w:sz w:val="22"/>
          <w:szCs w:val="22"/>
        </w:rPr>
        <w:t xml:space="preserve">Note: Employees retain the right to refuse instructions that require them to engage in illegal activity or violate Company ethics policies. Such refusals are protected and will not be treated as insubordination.</w:t>
      </w:r>
    </w:p>
    <w:p>
      <w:pPr>
        <w:pStyle w:val="Heading2"/>
        <w:spacing w:after="120" w:before="280"/>
      </w:pPr>
      <w:r>
        <w:rPr>
          <w:rFonts w:ascii="Arial" w:cs="Arial" w:eastAsia="Arial" w:hAnsi="Arial"/>
          <w:b/>
          <w:bCs/>
          <w:color w:val="2E75B6"/>
          <w:sz w:val="24"/>
          <w:szCs w:val="24"/>
        </w:rPr>
        <w:t xml:space="preserve">5.7  Workplace Misconduct &amp; Unprofessional Behavior</w:t>
      </w:r>
    </w:p>
    <w:p>
      <w:pPr>
        <w:spacing w:after="120"/>
      </w:pPr>
      <w:r>
        <w:rPr>
          <w:rFonts w:ascii="Arial" w:cs="Arial" w:eastAsia="Arial" w:hAnsi="Arial"/>
          <w:sz w:val="22"/>
          <w:szCs w:val="22"/>
        </w:rPr>
        <w:t xml:space="preserve">Employees are expected to conduct themselves professionally at all times. The following behaviors may result in progressive discipline or immediate termination depending on severity:</w:t>
      </w:r>
    </w:p>
    <w:p>
      <w:pPr>
        <w:pStyle w:val="ListParagraph"/>
        <w:numPr>
          <w:ilvl w:val="0"/>
          <w:numId w:val="2"/>
        </w:numPr>
        <w:spacing w:after="80"/>
      </w:pPr>
      <w:r>
        <w:rPr>
          <w:rFonts w:ascii="Arial" w:cs="Arial" w:eastAsia="Arial" w:hAnsi="Arial"/>
          <w:sz w:val="22"/>
          <w:szCs w:val="22"/>
        </w:rPr>
        <w:t xml:space="preserve">Bullying, intimidation, or persistent interpersonal aggression toward colleagues</w:t>
      </w:r>
    </w:p>
    <w:p>
      <w:pPr>
        <w:pStyle w:val="ListParagraph"/>
        <w:numPr>
          <w:ilvl w:val="0"/>
          <w:numId w:val="2"/>
        </w:numPr>
        <w:spacing w:after="80"/>
      </w:pPr>
      <w:r>
        <w:rPr>
          <w:rFonts w:ascii="Arial" w:cs="Arial" w:eastAsia="Arial" w:hAnsi="Arial"/>
          <w:sz w:val="22"/>
          <w:szCs w:val="22"/>
        </w:rPr>
        <w:t xml:space="preserve">Use of abusive, offensive, or threatening language in the workplace</w:t>
      </w:r>
    </w:p>
    <w:p>
      <w:pPr>
        <w:pStyle w:val="ListParagraph"/>
        <w:numPr>
          <w:ilvl w:val="0"/>
          <w:numId w:val="2"/>
        </w:numPr>
        <w:spacing w:after="80"/>
      </w:pPr>
      <w:r>
        <w:rPr>
          <w:rFonts w:ascii="Arial" w:cs="Arial" w:eastAsia="Arial" w:hAnsi="Arial"/>
          <w:sz w:val="22"/>
          <w:szCs w:val="22"/>
        </w:rPr>
        <w:t xml:space="preserve">Deliberate sabotage of a colleague's work or professional reputation</w:t>
      </w:r>
    </w:p>
    <w:p>
      <w:pPr>
        <w:pStyle w:val="ListParagraph"/>
        <w:numPr>
          <w:ilvl w:val="0"/>
          <w:numId w:val="2"/>
        </w:numPr>
        <w:spacing w:after="80"/>
      </w:pPr>
      <w:r>
        <w:rPr>
          <w:rFonts w:ascii="Arial" w:cs="Arial" w:eastAsia="Arial" w:hAnsi="Arial"/>
          <w:sz w:val="22"/>
          <w:szCs w:val="22"/>
        </w:rPr>
        <w:t xml:space="preserve">Spreading false rumors or malicious gossip</w:t>
      </w:r>
    </w:p>
    <w:p>
      <w:pPr>
        <w:pStyle w:val="ListParagraph"/>
        <w:numPr>
          <w:ilvl w:val="0"/>
          <w:numId w:val="2"/>
        </w:numPr>
        <w:spacing w:after="80"/>
      </w:pPr>
      <w:r>
        <w:rPr>
          <w:rFonts w:ascii="Arial" w:cs="Arial" w:eastAsia="Arial" w:hAnsi="Arial"/>
          <w:sz w:val="22"/>
          <w:szCs w:val="22"/>
        </w:rPr>
        <w:t xml:space="preserve">Creating or contributing to a hostile work environment</w:t>
      </w:r>
    </w:p>
    <w:p>
      <w:pPr>
        <w:pStyle w:val="ListParagraph"/>
        <w:numPr>
          <w:ilvl w:val="0"/>
          <w:numId w:val="2"/>
        </w:numPr>
        <w:spacing w:after="80"/>
      </w:pPr>
      <w:r>
        <w:rPr>
          <w:rFonts w:ascii="Arial" w:cs="Arial" w:eastAsia="Arial" w:hAnsi="Arial"/>
          <w:sz w:val="22"/>
          <w:szCs w:val="22"/>
        </w:rPr>
        <w:t xml:space="preserve">Conduct outside of work that materially damages the Company's reputation or business interests</w:t>
      </w:r>
    </w:p>
    <w:p>
      <w:pPr>
        <w:pStyle w:val="Heading2"/>
        <w:spacing w:after="120" w:before="280"/>
      </w:pPr>
      <w:r>
        <w:rPr>
          <w:rFonts w:ascii="Arial" w:cs="Arial" w:eastAsia="Arial" w:hAnsi="Arial"/>
          <w:b/>
          <w:bCs/>
          <w:color w:val="2E75B6"/>
          <w:sz w:val="24"/>
          <w:szCs w:val="24"/>
        </w:rPr>
        <w:t xml:space="preserve">5.8  Substance Abuse</w:t>
      </w:r>
    </w:p>
    <w:p>
      <w:pPr>
        <w:spacing w:after="120"/>
      </w:pPr>
      <w:r>
        <w:rPr>
          <w:rFonts w:ascii="Arial" w:cs="Arial" w:eastAsia="Arial" w:hAnsi="Arial"/>
          <w:sz w:val="22"/>
          <w:szCs w:val="22"/>
        </w:rPr>
        <w:t xml:space="preserve">The Company maintains a drug- and alcohol-free workplace. The following are prohibited:</w:t>
      </w:r>
    </w:p>
    <w:p>
      <w:pPr>
        <w:pStyle w:val="ListParagraph"/>
        <w:numPr>
          <w:ilvl w:val="0"/>
          <w:numId w:val="2"/>
        </w:numPr>
        <w:spacing w:after="80"/>
      </w:pPr>
      <w:r>
        <w:rPr>
          <w:rFonts w:ascii="Arial" w:cs="Arial" w:eastAsia="Arial" w:hAnsi="Arial"/>
          <w:sz w:val="22"/>
          <w:szCs w:val="22"/>
        </w:rPr>
        <w:t xml:space="preserve">Reporting to work under the influence of alcohol, illegal drugs, or controlled substances</w:t>
      </w:r>
    </w:p>
    <w:p>
      <w:pPr>
        <w:pStyle w:val="ListParagraph"/>
        <w:numPr>
          <w:ilvl w:val="0"/>
          <w:numId w:val="2"/>
        </w:numPr>
        <w:spacing w:after="80"/>
      </w:pPr>
      <w:r>
        <w:rPr>
          <w:rFonts w:ascii="Arial" w:cs="Arial" w:eastAsia="Arial" w:hAnsi="Arial"/>
          <w:sz w:val="22"/>
          <w:szCs w:val="22"/>
        </w:rPr>
        <w:t xml:space="preserve">Consuming alcohol or illegal substances during working hours or on Company premises</w:t>
      </w:r>
    </w:p>
    <w:p>
      <w:pPr>
        <w:pStyle w:val="ListParagraph"/>
        <w:numPr>
          <w:ilvl w:val="0"/>
          <w:numId w:val="2"/>
        </w:numPr>
        <w:spacing w:after="80"/>
      </w:pPr>
      <w:r>
        <w:rPr>
          <w:rFonts w:ascii="Arial" w:cs="Arial" w:eastAsia="Arial" w:hAnsi="Arial"/>
          <w:sz w:val="22"/>
          <w:szCs w:val="22"/>
        </w:rPr>
        <w:t xml:space="preserve">Possessing, distributing, or selling illegal substances on Company premises or at Company events</w:t>
      </w:r>
    </w:p>
    <w:p>
      <w:pPr>
        <w:spacing w:after="120"/>
      </w:pPr>
      <w:r>
        <w:rPr>
          <w:rFonts w:ascii="Arial" w:cs="Arial" w:eastAsia="Arial" w:hAnsi="Arial"/>
          <w:sz w:val="22"/>
          <w:szCs w:val="22"/>
        </w:rPr>
        <w:t xml:space="preserve">The Company acknowledges substance use disorders as health conditions and encourages employees to proactively seek support through the Employee Assistance Program (EAP). Employees who voluntarily seek treatment before a policy violation occurs may be offered accommodation. However, impairment that creates safety risks or has already resulted in incidents will be addressed through disciplinary action.</w:t>
      </w:r>
    </w:p>
    <w:p>
      <w:pPr>
        <w:pStyle w:val="Heading2"/>
        <w:spacing w:after="120" w:before="280"/>
      </w:pPr>
      <w:r>
        <w:rPr>
          <w:rFonts w:ascii="Arial" w:cs="Arial" w:eastAsia="Arial" w:hAnsi="Arial"/>
          <w:b/>
          <w:bCs/>
          <w:color w:val="2E75B6"/>
          <w:sz w:val="24"/>
          <w:szCs w:val="24"/>
        </w:rPr>
        <w:t xml:space="preserve">5.9  Data Security &amp; Confidentiality Violations</w:t>
      </w:r>
    </w:p>
    <w:p>
      <w:pPr>
        <w:spacing w:after="120"/>
      </w:pPr>
      <w:r>
        <w:rPr>
          <w:rFonts w:ascii="Arial" w:cs="Arial" w:eastAsia="Arial" w:hAnsi="Arial"/>
          <w:sz w:val="22"/>
          <w:szCs w:val="22"/>
        </w:rPr>
        <w:t xml:space="preserve">Given the nature of technology businesses, data security is paramount. Employees must protect Company, customer, and employee data at all times. Violations include:</w:t>
      </w:r>
    </w:p>
    <w:p>
      <w:pPr>
        <w:pStyle w:val="ListParagraph"/>
        <w:numPr>
          <w:ilvl w:val="0"/>
          <w:numId w:val="2"/>
        </w:numPr>
        <w:spacing w:after="80"/>
      </w:pPr>
      <w:r>
        <w:rPr>
          <w:rFonts w:ascii="Arial" w:cs="Arial" w:eastAsia="Arial" w:hAnsi="Arial"/>
          <w:sz w:val="22"/>
          <w:szCs w:val="22"/>
        </w:rPr>
        <w:t xml:space="preserve">Unauthorized access to systems, accounts, or data beyond one's role</w:t>
      </w:r>
    </w:p>
    <w:p>
      <w:pPr>
        <w:pStyle w:val="ListParagraph"/>
        <w:numPr>
          <w:ilvl w:val="0"/>
          <w:numId w:val="2"/>
        </w:numPr>
        <w:spacing w:after="80"/>
      </w:pPr>
      <w:r>
        <w:rPr>
          <w:rFonts w:ascii="Arial" w:cs="Arial" w:eastAsia="Arial" w:hAnsi="Arial"/>
          <w:sz w:val="22"/>
          <w:szCs w:val="22"/>
        </w:rPr>
        <w:t xml:space="preserve">Sharing or disclosing confidential, proprietary, or customer data to unauthorized parties</w:t>
      </w:r>
    </w:p>
    <w:p>
      <w:pPr>
        <w:pStyle w:val="ListParagraph"/>
        <w:numPr>
          <w:ilvl w:val="0"/>
          <w:numId w:val="2"/>
        </w:numPr>
        <w:spacing w:after="80"/>
      </w:pPr>
      <w:r>
        <w:rPr>
          <w:rFonts w:ascii="Arial" w:cs="Arial" w:eastAsia="Arial" w:hAnsi="Arial"/>
          <w:sz w:val="22"/>
          <w:szCs w:val="22"/>
        </w:rPr>
        <w:t xml:space="preserve">Failure to report a known or suspected data breach</w:t>
      </w:r>
    </w:p>
    <w:p>
      <w:pPr>
        <w:pStyle w:val="ListParagraph"/>
        <w:numPr>
          <w:ilvl w:val="0"/>
          <w:numId w:val="2"/>
        </w:numPr>
        <w:spacing w:after="80"/>
      </w:pPr>
      <w:r>
        <w:rPr>
          <w:rFonts w:ascii="Arial" w:cs="Arial" w:eastAsia="Arial" w:hAnsi="Arial"/>
          <w:sz w:val="22"/>
          <w:szCs w:val="22"/>
        </w:rPr>
        <w:t xml:space="preserve">Installing unauthorized software or circumventing security controls</w:t>
      </w:r>
    </w:p>
    <w:p>
      <w:pPr>
        <w:pStyle w:val="ListParagraph"/>
        <w:numPr>
          <w:ilvl w:val="0"/>
          <w:numId w:val="2"/>
        </w:numPr>
        <w:spacing w:after="80"/>
      </w:pPr>
      <w:r>
        <w:rPr>
          <w:rFonts w:ascii="Arial" w:cs="Arial" w:eastAsia="Arial" w:hAnsi="Arial"/>
          <w:sz w:val="22"/>
          <w:szCs w:val="22"/>
        </w:rPr>
        <w:t xml:space="preserve">Storing sensitive Company data on personal or unmanaged devices</w:t>
      </w:r>
    </w:p>
    <w:p>
      <w:pPr>
        <w:pStyle w:val="ListParagraph"/>
        <w:numPr>
          <w:ilvl w:val="0"/>
          <w:numId w:val="2"/>
        </w:numPr>
        <w:spacing w:after="80"/>
      </w:pPr>
      <w:r>
        <w:rPr>
          <w:rFonts w:ascii="Arial" w:cs="Arial" w:eastAsia="Arial" w:hAnsi="Arial"/>
          <w:sz w:val="22"/>
          <w:szCs w:val="22"/>
        </w:rPr>
        <w:t xml:space="preserve">Sharing login credentials or allowing unauthorized persons to access systems</w:t>
      </w:r>
    </w:p>
    <w:p>
      <w:pPr>
        <w:pStyle w:val="Heading2"/>
        <w:spacing w:after="120" w:before="280"/>
      </w:pPr>
      <w:r>
        <w:rPr>
          <w:rFonts w:ascii="Arial" w:cs="Arial" w:eastAsia="Arial" w:hAnsi="Arial"/>
          <w:b/>
          <w:bCs/>
          <w:color w:val="2E75B6"/>
          <w:sz w:val="24"/>
          <w:szCs w:val="24"/>
        </w:rPr>
        <w:t xml:space="preserve">5.10  Attendance &amp; Reliability</w:t>
      </w:r>
    </w:p>
    <w:p>
      <w:pPr>
        <w:spacing w:after="120"/>
      </w:pPr>
      <w:r>
        <w:rPr>
          <w:rFonts w:ascii="Arial" w:cs="Arial" w:eastAsia="Arial" w:hAnsi="Arial"/>
          <w:sz w:val="22"/>
          <w:szCs w:val="22"/>
        </w:rPr>
        <w:t xml:space="preserve">Regular, reliable attendance is an essential job requirement. Excessive absenteeism or tardiness disrupts operations and team performance. Disciplinary action may result from:</w:t>
      </w:r>
    </w:p>
    <w:p>
      <w:pPr>
        <w:pStyle w:val="ListParagraph"/>
        <w:numPr>
          <w:ilvl w:val="0"/>
          <w:numId w:val="2"/>
        </w:numPr>
        <w:spacing w:after="80"/>
      </w:pPr>
      <w:r>
        <w:rPr>
          <w:rFonts w:ascii="Arial" w:cs="Arial" w:eastAsia="Arial" w:hAnsi="Arial"/>
          <w:sz w:val="22"/>
          <w:szCs w:val="22"/>
        </w:rPr>
        <w:t xml:space="preserve">Excessive unexcused absences (typically three or more in a rolling 30-day period)</w:t>
      </w:r>
    </w:p>
    <w:p>
      <w:pPr>
        <w:pStyle w:val="ListParagraph"/>
        <w:numPr>
          <w:ilvl w:val="0"/>
          <w:numId w:val="2"/>
        </w:numPr>
        <w:spacing w:after="80"/>
      </w:pPr>
      <w:r>
        <w:rPr>
          <w:rFonts w:ascii="Arial" w:cs="Arial" w:eastAsia="Arial" w:hAnsi="Arial"/>
          <w:sz w:val="22"/>
          <w:szCs w:val="22"/>
        </w:rPr>
        <w:t xml:space="preserve">Habitual tardiness or early departure without manager approval</w:t>
      </w:r>
    </w:p>
    <w:p>
      <w:pPr>
        <w:pStyle w:val="ListParagraph"/>
        <w:numPr>
          <w:ilvl w:val="0"/>
          <w:numId w:val="2"/>
        </w:numPr>
        <w:spacing w:after="80"/>
      </w:pPr>
      <w:r>
        <w:rPr>
          <w:rFonts w:ascii="Arial" w:cs="Arial" w:eastAsia="Arial" w:hAnsi="Arial"/>
          <w:sz w:val="22"/>
          <w:szCs w:val="22"/>
        </w:rPr>
        <w:t xml:space="preserve">No-call, no-show absences (failure to notify a manager before a shift/workday)</w:t>
      </w:r>
    </w:p>
    <w:p>
      <w:pPr>
        <w:pStyle w:val="ListParagraph"/>
        <w:numPr>
          <w:ilvl w:val="0"/>
          <w:numId w:val="2"/>
        </w:numPr>
        <w:spacing w:after="80"/>
      </w:pPr>
      <w:r>
        <w:rPr>
          <w:rFonts w:ascii="Arial" w:cs="Arial" w:eastAsia="Arial" w:hAnsi="Arial"/>
          <w:sz w:val="22"/>
          <w:szCs w:val="22"/>
        </w:rPr>
        <w:t xml:space="preserve">Three consecutive no-call, no-show days may be treated as voluntary resignation</w:t>
      </w:r>
    </w:p>
    <w:p>
      <w:pPr>
        <w:spacing w:after="120"/>
      </w:pPr>
      <w:r>
        <w:rPr>
          <w:rFonts w:ascii="Arial" w:cs="Arial" w:eastAsia="Arial" w:hAnsi="Arial"/>
          <w:sz w:val="22"/>
          <w:szCs w:val="22"/>
        </w:rPr>
        <w:t xml:space="preserve">Absences covered under FMLA, ADA, or other legally protected leave programs will not count against an employee under this policy.</w:t>
      </w:r>
    </w:p>
    <w:p>
      <w:pPr>
        <w:pStyle w:val="Heading2"/>
        <w:spacing w:after="120" w:before="280"/>
      </w:pPr>
      <w:r>
        <w:rPr>
          <w:rFonts w:ascii="Arial" w:cs="Arial" w:eastAsia="Arial" w:hAnsi="Arial"/>
          <w:b/>
          <w:bCs/>
          <w:color w:val="2E75B6"/>
          <w:sz w:val="24"/>
          <w:szCs w:val="24"/>
        </w:rPr>
        <w:t xml:space="preserve">5.11  Performance</w:t>
      </w:r>
    </w:p>
    <w:p>
      <w:pPr>
        <w:spacing w:after="120"/>
      </w:pPr>
      <w:r>
        <w:rPr>
          <w:rFonts w:ascii="Arial" w:cs="Arial" w:eastAsia="Arial" w:hAnsi="Arial"/>
          <w:sz w:val="22"/>
          <w:szCs w:val="22"/>
        </w:rPr>
        <w:t xml:space="preserve">Sustained failure to meet the requirements of one's role, after coaching and a reasonable opportunity to improve, may result in termination. The Company will typically:</w:t>
      </w:r>
    </w:p>
    <w:p>
      <w:pPr>
        <w:pStyle w:val="ListParagraph"/>
        <w:numPr>
          <w:ilvl w:val="0"/>
          <w:numId w:val="2"/>
        </w:numPr>
        <w:spacing w:after="80"/>
      </w:pPr>
      <w:r>
        <w:rPr>
          <w:rFonts w:ascii="Arial" w:cs="Arial" w:eastAsia="Arial" w:hAnsi="Arial"/>
          <w:sz w:val="22"/>
          <w:szCs w:val="22"/>
        </w:rPr>
        <w:t xml:space="preserve">Provide clear performance expectations in writing</w:t>
      </w:r>
    </w:p>
    <w:p>
      <w:pPr>
        <w:pStyle w:val="ListParagraph"/>
        <w:numPr>
          <w:ilvl w:val="0"/>
          <w:numId w:val="2"/>
        </w:numPr>
        <w:spacing w:after="80"/>
      </w:pPr>
      <w:r>
        <w:rPr>
          <w:rFonts w:ascii="Arial" w:cs="Arial" w:eastAsia="Arial" w:hAnsi="Arial"/>
          <w:sz w:val="22"/>
          <w:szCs w:val="22"/>
        </w:rPr>
        <w:t xml:space="preserve">Deliver timely, documented feedback</w:t>
      </w:r>
    </w:p>
    <w:p>
      <w:pPr>
        <w:pStyle w:val="ListParagraph"/>
        <w:numPr>
          <w:ilvl w:val="0"/>
          <w:numId w:val="2"/>
        </w:numPr>
        <w:spacing w:after="80"/>
      </w:pPr>
      <w:r>
        <w:rPr>
          <w:rFonts w:ascii="Arial" w:cs="Arial" w:eastAsia="Arial" w:hAnsi="Arial"/>
          <w:sz w:val="22"/>
          <w:szCs w:val="22"/>
        </w:rPr>
        <w:t xml:space="preserve">Offer a formal Performance Improvement Plan (PIP) with defined goals and timelines</w:t>
      </w:r>
    </w:p>
    <w:p>
      <w:pPr>
        <w:pStyle w:val="ListParagraph"/>
        <w:numPr>
          <w:ilvl w:val="0"/>
          <w:numId w:val="2"/>
        </w:numPr>
        <w:spacing w:after="80"/>
      </w:pPr>
      <w:r>
        <w:rPr>
          <w:rFonts w:ascii="Arial" w:cs="Arial" w:eastAsia="Arial" w:hAnsi="Arial"/>
          <w:sz w:val="22"/>
          <w:szCs w:val="22"/>
        </w:rPr>
        <w:t xml:space="preserve">Support improvement efforts through coaching, training, or resource provision</w:t>
      </w:r>
    </w:p>
    <w:p>
      <w:pPr>
        <w:spacing w:after="120"/>
      </w:pPr>
      <w:r>
        <w:rPr>
          <w:rFonts w:ascii="Arial" w:cs="Arial" w:eastAsia="Arial" w:hAnsi="Arial"/>
          <w:sz w:val="22"/>
          <w:szCs w:val="22"/>
        </w:rPr>
        <w:t xml:space="preserve">Termination for performance reasons is generally a last resort after these steps have been followed in good faith.</w:t>
      </w:r>
    </w:p>
    <w:p>
      <w:pPr>
        <w:pStyle w:val="Heading2"/>
        <w:spacing w:after="120" w:before="280"/>
      </w:pPr>
      <w:r>
        <w:rPr>
          <w:rFonts w:ascii="Arial" w:cs="Arial" w:eastAsia="Arial" w:hAnsi="Arial"/>
          <w:b/>
          <w:bCs/>
          <w:color w:val="2E75B6"/>
          <w:sz w:val="24"/>
          <w:szCs w:val="24"/>
        </w:rPr>
        <w:t xml:space="preserve">5.12  Conflict of Interest</w:t>
      </w:r>
    </w:p>
    <w:p>
      <w:pPr>
        <w:spacing w:after="120"/>
      </w:pPr>
      <w:r>
        <w:rPr>
          <w:rFonts w:ascii="Arial" w:cs="Arial" w:eastAsia="Arial" w:hAnsi="Arial"/>
          <w:sz w:val="22"/>
          <w:szCs w:val="22"/>
        </w:rPr>
        <w:t xml:space="preserve">Employees must avoid situations where personal interests conflict — or appear to conflict — with the interests of the Company. Employees are required to disclose potential conflicts to HR or their manager. Examples include:</w:t>
      </w:r>
    </w:p>
    <w:p>
      <w:pPr>
        <w:pStyle w:val="ListParagraph"/>
        <w:numPr>
          <w:ilvl w:val="0"/>
          <w:numId w:val="2"/>
        </w:numPr>
        <w:spacing w:after="80"/>
      </w:pPr>
      <w:r>
        <w:rPr>
          <w:rFonts w:ascii="Arial" w:cs="Arial" w:eastAsia="Arial" w:hAnsi="Arial"/>
          <w:sz w:val="22"/>
          <w:szCs w:val="22"/>
        </w:rPr>
        <w:t xml:space="preserve">Undisclosed employment with a competitor or Company supplier</w:t>
      </w:r>
    </w:p>
    <w:p>
      <w:pPr>
        <w:pStyle w:val="ListParagraph"/>
        <w:numPr>
          <w:ilvl w:val="0"/>
          <w:numId w:val="2"/>
        </w:numPr>
        <w:spacing w:after="80"/>
      </w:pPr>
      <w:r>
        <w:rPr>
          <w:rFonts w:ascii="Arial" w:cs="Arial" w:eastAsia="Arial" w:hAnsi="Arial"/>
          <w:sz w:val="22"/>
          <w:szCs w:val="22"/>
        </w:rPr>
        <w:t xml:space="preserve">Personal financial interests in vendors or partners the employee influences</w:t>
      </w:r>
    </w:p>
    <w:p>
      <w:pPr>
        <w:pStyle w:val="ListParagraph"/>
        <w:numPr>
          <w:ilvl w:val="0"/>
          <w:numId w:val="2"/>
        </w:numPr>
        <w:spacing w:after="80"/>
      </w:pPr>
      <w:r>
        <w:rPr>
          <w:rFonts w:ascii="Arial" w:cs="Arial" w:eastAsia="Arial" w:hAnsi="Arial"/>
          <w:sz w:val="22"/>
          <w:szCs w:val="22"/>
        </w:rPr>
        <w:t xml:space="preserve">Using Company time, resources, or confidential information to advance a personal business</w:t>
      </w:r>
    </w:p>
    <w:p>
      <w:pPr>
        <w:pStyle w:val="ListParagraph"/>
        <w:numPr>
          <w:ilvl w:val="0"/>
          <w:numId w:val="2"/>
        </w:numPr>
        <w:spacing w:after="80"/>
      </w:pPr>
      <w:r>
        <w:rPr>
          <w:rFonts w:ascii="Arial" w:cs="Arial" w:eastAsia="Arial" w:hAnsi="Arial"/>
          <w:sz w:val="22"/>
          <w:szCs w:val="22"/>
        </w:rPr>
        <w:t xml:space="preserve">Hiring or supervising close personal relationships (romantic or family) without disclosure</w:t>
      </w:r>
    </w:p>
    <w:p>
      <w:pPr>
        <w:pStyle w:val="Heading2"/>
        <w:spacing w:after="120" w:before="280"/>
      </w:pPr>
      <w:r>
        <w:rPr>
          <w:rFonts w:ascii="Arial" w:cs="Arial" w:eastAsia="Arial" w:hAnsi="Arial"/>
          <w:b/>
          <w:bCs/>
          <w:color w:val="2E75B6"/>
          <w:sz w:val="24"/>
          <w:szCs w:val="24"/>
        </w:rPr>
        <w:t xml:space="preserve">5.13  Retaliation</w:t>
      </w:r>
    </w:p>
    <w:p>
      <w:pPr>
        <w:spacing w:after="120"/>
      </w:pPr>
      <w:r>
        <w:rPr>
          <w:rFonts w:ascii="Arial" w:cs="Arial" w:eastAsia="Arial" w:hAnsi="Arial"/>
          <w:sz w:val="22"/>
          <w:szCs w:val="22"/>
        </w:rPr>
        <w:t xml:space="preserve">Retaliation against an employee for engaging in protected activities is strictly prohibited and may itself result in termination of the retaliating employee. Protected activities include:</w:t>
      </w:r>
    </w:p>
    <w:p>
      <w:pPr>
        <w:pStyle w:val="ListParagraph"/>
        <w:numPr>
          <w:ilvl w:val="0"/>
          <w:numId w:val="2"/>
        </w:numPr>
        <w:spacing w:after="80"/>
      </w:pPr>
      <w:r>
        <w:rPr>
          <w:rFonts w:ascii="Arial" w:cs="Arial" w:eastAsia="Arial" w:hAnsi="Arial"/>
          <w:sz w:val="22"/>
          <w:szCs w:val="22"/>
        </w:rPr>
        <w:t xml:space="preserve">Reporting suspected legal violations or ethics concerns (whistleblowing)</w:t>
      </w:r>
    </w:p>
    <w:p>
      <w:pPr>
        <w:pStyle w:val="ListParagraph"/>
        <w:numPr>
          <w:ilvl w:val="0"/>
          <w:numId w:val="2"/>
        </w:numPr>
        <w:spacing w:after="80"/>
      </w:pPr>
      <w:r>
        <w:rPr>
          <w:rFonts w:ascii="Arial" w:cs="Arial" w:eastAsia="Arial" w:hAnsi="Arial"/>
          <w:sz w:val="22"/>
          <w:szCs w:val="22"/>
        </w:rPr>
        <w:t xml:space="preserve">Filing a harassment or discrimination complaint</w:t>
      </w:r>
    </w:p>
    <w:p>
      <w:pPr>
        <w:pStyle w:val="ListParagraph"/>
        <w:numPr>
          <w:ilvl w:val="0"/>
          <w:numId w:val="2"/>
        </w:numPr>
        <w:spacing w:after="80"/>
      </w:pPr>
      <w:r>
        <w:rPr>
          <w:rFonts w:ascii="Arial" w:cs="Arial" w:eastAsia="Arial" w:hAnsi="Arial"/>
          <w:sz w:val="22"/>
          <w:szCs w:val="22"/>
        </w:rPr>
        <w:t xml:space="preserve">Participating in a Company or government investigation</w:t>
      </w:r>
    </w:p>
    <w:p>
      <w:pPr>
        <w:pStyle w:val="ListParagraph"/>
        <w:numPr>
          <w:ilvl w:val="0"/>
          <w:numId w:val="2"/>
        </w:numPr>
        <w:spacing w:after="80"/>
      </w:pPr>
      <w:r>
        <w:rPr>
          <w:rFonts w:ascii="Arial" w:cs="Arial" w:eastAsia="Arial" w:hAnsi="Arial"/>
          <w:sz w:val="22"/>
          <w:szCs w:val="22"/>
        </w:rPr>
        <w:t xml:space="preserve">Requesting legally protected leave (FMLA, ADA accommodation, etc.)</w:t>
      </w:r>
    </w:p>
    <w:p>
      <w:pPr>
        <w:pStyle w:val="ListParagraph"/>
        <w:numPr>
          <w:ilvl w:val="0"/>
          <w:numId w:val="2"/>
        </w:numPr>
        <w:spacing w:after="80"/>
      </w:pPr>
      <w:r>
        <w:rPr>
          <w:rFonts w:ascii="Arial" w:cs="Arial" w:eastAsia="Arial" w:hAnsi="Arial"/>
          <w:sz w:val="22"/>
          <w:szCs w:val="22"/>
        </w:rPr>
        <w:t xml:space="preserve">Exercising rights under applicable labor laws</w:t>
      </w:r>
    </w:p>
    <w:p>
      <w:pPr>
        <w:pStyle w:val="Heading2"/>
        <w:spacing w:after="120" w:before="280"/>
      </w:pPr>
      <w:r>
        <w:rPr>
          <w:rFonts w:ascii="Arial" w:cs="Arial" w:eastAsia="Arial" w:hAnsi="Arial"/>
          <w:b/>
          <w:bCs/>
          <w:color w:val="2E75B6"/>
          <w:sz w:val="24"/>
          <w:szCs w:val="24"/>
        </w:rPr>
        <w:t xml:space="preserve">5.14  Social Media &amp; Public Communications</w:t>
      </w:r>
    </w:p>
    <w:p>
      <w:pPr>
        <w:spacing w:after="120"/>
      </w:pPr>
      <w:r>
        <w:rPr>
          <w:rFonts w:ascii="Arial" w:cs="Arial" w:eastAsia="Arial" w:hAnsi="Arial"/>
          <w:sz w:val="22"/>
          <w:szCs w:val="22"/>
        </w:rPr>
        <w:t xml:space="preserve">Employees must exercise good judgment in their public communications. The following are prohibited:</w:t>
      </w:r>
    </w:p>
    <w:p>
      <w:pPr>
        <w:pStyle w:val="ListParagraph"/>
        <w:numPr>
          <w:ilvl w:val="0"/>
          <w:numId w:val="2"/>
        </w:numPr>
        <w:spacing w:after="80"/>
      </w:pPr>
      <w:r>
        <w:rPr>
          <w:rFonts w:ascii="Arial" w:cs="Arial" w:eastAsia="Arial" w:hAnsi="Arial"/>
          <w:sz w:val="22"/>
          <w:szCs w:val="22"/>
        </w:rPr>
        <w:t xml:space="preserve">Disclosing confidential, proprietary, or customer information on public platforms</w:t>
      </w:r>
    </w:p>
    <w:p>
      <w:pPr>
        <w:pStyle w:val="ListParagraph"/>
        <w:numPr>
          <w:ilvl w:val="0"/>
          <w:numId w:val="2"/>
        </w:numPr>
        <w:spacing w:after="80"/>
      </w:pPr>
      <w:r>
        <w:rPr>
          <w:rFonts w:ascii="Arial" w:cs="Arial" w:eastAsia="Arial" w:hAnsi="Arial"/>
          <w:sz w:val="22"/>
          <w:szCs w:val="22"/>
        </w:rPr>
        <w:t xml:space="preserve">Harassing, threatening, or defaming colleagues, customers, or competitors online</w:t>
      </w:r>
    </w:p>
    <w:p>
      <w:pPr>
        <w:pStyle w:val="ListParagraph"/>
        <w:numPr>
          <w:ilvl w:val="0"/>
          <w:numId w:val="2"/>
        </w:numPr>
        <w:spacing w:after="80"/>
      </w:pPr>
      <w:r>
        <w:rPr>
          <w:rFonts w:ascii="Arial" w:cs="Arial" w:eastAsia="Arial" w:hAnsi="Arial"/>
          <w:sz w:val="22"/>
          <w:szCs w:val="22"/>
        </w:rPr>
        <w:t xml:space="preserve">Making statements that could be interpreted as official Company positions without authorization</w:t>
      </w:r>
    </w:p>
    <w:p>
      <w:pPr>
        <w:pStyle w:val="ListParagraph"/>
        <w:numPr>
          <w:ilvl w:val="0"/>
          <w:numId w:val="2"/>
        </w:numPr>
        <w:spacing w:after="80"/>
      </w:pPr>
      <w:r>
        <w:rPr>
          <w:rFonts w:ascii="Arial" w:cs="Arial" w:eastAsia="Arial" w:hAnsi="Arial"/>
          <w:sz w:val="22"/>
          <w:szCs w:val="22"/>
        </w:rPr>
        <w:t xml:space="preserve">Posting content that violates the Company's equal opportunity or anti-harassment policies</w:t>
      </w:r>
    </w:p>
    <w:p>
      <w:pPr>
        <w:pStyle w:val="Heading2"/>
        <w:spacing w:after="120" w:before="280"/>
      </w:pPr>
      <w:r>
        <w:rPr>
          <w:rFonts w:ascii="Arial" w:cs="Arial" w:eastAsia="Arial" w:hAnsi="Arial"/>
          <w:b/>
          <w:bCs/>
          <w:color w:val="2E75B6"/>
          <w:sz w:val="24"/>
          <w:szCs w:val="24"/>
        </w:rPr>
        <w:t xml:space="preserve">5.15  Policy Violations &amp; Regulatory Non-Compliance</w:t>
      </w:r>
    </w:p>
    <w:p>
      <w:pPr>
        <w:spacing w:after="120"/>
      </w:pPr>
      <w:r>
        <w:rPr>
          <w:rFonts w:ascii="Arial" w:cs="Arial" w:eastAsia="Arial" w:hAnsi="Arial"/>
          <w:sz w:val="22"/>
          <w:szCs w:val="22"/>
        </w:rPr>
        <w:t xml:space="preserve">Repeated or willful violations of Company policy — including IT, expense, travel, data handling, or code of conduct policies — may result in progressive discipline or termination, depending on the nature and impact of the violation. For regulated roles, violations of applicable laws or industry regulations (export control, financial regulation, data privacy, etc.) are treated with heightened seriousness.</w:t>
      </w:r>
    </w:p>
    <w:p>
      <w:pPr>
        <w:spacing w:after="160"/>
      </w:pPr>
    </w:p>
    <w:p>
      <w:pPr>
        <w:pStyle w:val="Heading1"/>
        <w:pBdr>
          <w:bottom w:val="single" w:color="2E75B6" w:sz="6" w:space="4"/>
        </w:pBdr>
        <w:spacing w:after="160" w:before="400"/>
      </w:pPr>
      <w:r>
        <w:rPr>
          <w:rFonts w:ascii="Arial" w:cs="Arial" w:eastAsia="Arial" w:hAnsi="Arial"/>
          <w:b/>
          <w:bCs/>
          <w:color w:val="1F3864"/>
          <w:sz w:val="28"/>
          <w:szCs w:val="28"/>
        </w:rPr>
        <w:t xml:space="preserve">6. Investigation Process</w:t>
      </w:r>
    </w:p>
    <w:p>
      <w:pPr>
        <w:spacing w:after="120"/>
      </w:pPr>
      <w:r>
        <w:rPr>
          <w:rFonts w:ascii="Arial" w:cs="Arial" w:eastAsia="Arial" w:hAnsi="Arial"/>
          <w:sz w:val="22"/>
          <w:szCs w:val="22"/>
        </w:rPr>
        <w:t xml:space="preserve">Before disciplinary action is taken for most violations (except in cases of immediate safety risk), the Company will conduct a fair and prompt investigation. The process includes:</w:t>
      </w:r>
    </w:p>
    <w:p>
      <w:pPr>
        <w:pStyle w:val="ListParagraph"/>
        <w:numPr>
          <w:ilvl w:val="0"/>
          <w:numId w:val="2"/>
        </w:numPr>
        <w:spacing w:after="80"/>
      </w:pPr>
      <w:r>
        <w:rPr>
          <w:rFonts w:ascii="Arial" w:cs="Arial" w:eastAsia="Arial" w:hAnsi="Arial"/>
          <w:sz w:val="22"/>
          <w:szCs w:val="22"/>
        </w:rPr>
        <w:t xml:space="preserve">Initial notification: The employee is informed that an investigation is underway</w:t>
      </w:r>
    </w:p>
    <w:p>
      <w:pPr>
        <w:pStyle w:val="ListParagraph"/>
        <w:numPr>
          <w:ilvl w:val="0"/>
          <w:numId w:val="2"/>
        </w:numPr>
        <w:spacing w:after="80"/>
      </w:pPr>
      <w:r>
        <w:rPr>
          <w:rFonts w:ascii="Arial" w:cs="Arial" w:eastAsia="Arial" w:hAnsi="Arial"/>
          <w:sz w:val="22"/>
          <w:szCs w:val="22"/>
        </w:rPr>
        <w:t xml:space="preserve">Administrative leave: The employee may be placed on paid administrative leave during the investigation</w:t>
      </w:r>
    </w:p>
    <w:p>
      <w:pPr>
        <w:pStyle w:val="ListParagraph"/>
        <w:numPr>
          <w:ilvl w:val="0"/>
          <w:numId w:val="2"/>
        </w:numPr>
        <w:spacing w:after="80"/>
      </w:pPr>
      <w:r>
        <w:rPr>
          <w:rFonts w:ascii="Arial" w:cs="Arial" w:eastAsia="Arial" w:hAnsi="Arial"/>
          <w:sz w:val="22"/>
          <w:szCs w:val="22"/>
        </w:rPr>
        <w:t xml:space="preserve">Evidence gathering: HR interviews relevant parties and reviews available documentation</w:t>
      </w:r>
    </w:p>
    <w:p>
      <w:pPr>
        <w:pStyle w:val="ListParagraph"/>
        <w:numPr>
          <w:ilvl w:val="0"/>
          <w:numId w:val="2"/>
        </w:numPr>
        <w:spacing w:after="80"/>
      </w:pPr>
      <w:r>
        <w:rPr>
          <w:rFonts w:ascii="Arial" w:cs="Arial" w:eastAsia="Arial" w:hAnsi="Arial"/>
          <w:sz w:val="22"/>
          <w:szCs w:val="22"/>
        </w:rPr>
        <w:t xml:space="preserve">Employee opportunity to respond: The employee is given a chance to provide their account</w:t>
      </w:r>
    </w:p>
    <w:p>
      <w:pPr>
        <w:pStyle w:val="ListParagraph"/>
        <w:numPr>
          <w:ilvl w:val="0"/>
          <w:numId w:val="2"/>
        </w:numPr>
        <w:spacing w:after="80"/>
      </w:pPr>
      <w:r>
        <w:rPr>
          <w:rFonts w:ascii="Arial" w:cs="Arial" w:eastAsia="Arial" w:hAnsi="Arial"/>
          <w:sz w:val="22"/>
          <w:szCs w:val="22"/>
        </w:rPr>
        <w:t xml:space="preserve">Findings and decision: HR and management review findings and determine appropriate action</w:t>
      </w:r>
    </w:p>
    <w:p>
      <w:pPr>
        <w:pStyle w:val="ListParagraph"/>
        <w:numPr>
          <w:ilvl w:val="0"/>
          <w:numId w:val="2"/>
        </w:numPr>
        <w:spacing w:after="80"/>
      </w:pPr>
      <w:r>
        <w:rPr>
          <w:rFonts w:ascii="Arial" w:cs="Arial" w:eastAsia="Arial" w:hAnsi="Arial"/>
          <w:sz w:val="22"/>
          <w:szCs w:val="22"/>
        </w:rPr>
        <w:t xml:space="preserve">Documentation: All findings are documented and retained in HR records</w:t>
      </w:r>
    </w:p>
    <w:p>
      <w:pPr>
        <w:spacing w:after="120"/>
      </w:pPr>
      <w:r>
        <w:rPr>
          <w:rFonts w:ascii="Arial" w:cs="Arial" w:eastAsia="Arial" w:hAnsi="Arial"/>
          <w:sz w:val="22"/>
          <w:szCs w:val="22"/>
        </w:rPr>
        <w:t xml:space="preserve">Employees are expected to cooperate fully with investigations. Failure to cooperate or providing false information during an investigation is independently grounds for termination.</w:t>
      </w:r>
    </w:p>
    <w:p>
      <w:pPr>
        <w:pStyle w:val="Heading1"/>
        <w:pBdr>
          <w:bottom w:val="single" w:color="2E75B6" w:sz="6" w:space="4"/>
        </w:pBdr>
        <w:spacing w:after="160" w:before="400"/>
      </w:pPr>
      <w:r>
        <w:rPr>
          <w:rFonts w:ascii="Arial" w:cs="Arial" w:eastAsia="Arial" w:hAnsi="Arial"/>
          <w:b/>
          <w:bCs/>
          <w:color w:val="1F3864"/>
          <w:sz w:val="28"/>
          <w:szCs w:val="28"/>
        </w:rPr>
        <w:t xml:space="preserve">7. Offenses Warranting Immediate Termination</w:t>
      </w:r>
    </w:p>
    <w:p>
      <w:pPr>
        <w:spacing w:after="120"/>
      </w:pPr>
      <w:r>
        <w:rPr>
          <w:rFonts w:ascii="Arial" w:cs="Arial" w:eastAsia="Arial" w:hAnsi="Arial"/>
          <w:sz w:val="22"/>
          <w:szCs w:val="22"/>
        </w:rPr>
        <w:t xml:space="preserve">The following offenses typically warrant immediate termination without prior warning. This list is illustrative, not exhaustive:</w:t>
      </w:r>
    </w:p>
    <w:p>
      <w:pPr>
        <w:pStyle w:val="ListParagraph"/>
        <w:numPr>
          <w:ilvl w:val="0"/>
          <w:numId w:val="2"/>
        </w:numPr>
        <w:spacing w:after="80"/>
      </w:pPr>
      <w:r>
        <w:rPr>
          <w:rFonts w:ascii="Arial" w:cs="Arial" w:eastAsia="Arial" w:hAnsi="Arial"/>
          <w:sz w:val="22"/>
          <w:szCs w:val="22"/>
        </w:rPr>
        <w:t xml:space="preserve">Acts of physical violence, assault, or credible threats of violence</w:t>
      </w:r>
    </w:p>
    <w:p>
      <w:pPr>
        <w:pStyle w:val="ListParagraph"/>
        <w:numPr>
          <w:ilvl w:val="0"/>
          <w:numId w:val="2"/>
        </w:numPr>
        <w:spacing w:after="80"/>
      </w:pPr>
      <w:r>
        <w:rPr>
          <w:rFonts w:ascii="Arial" w:cs="Arial" w:eastAsia="Arial" w:hAnsi="Arial"/>
          <w:sz w:val="22"/>
          <w:szCs w:val="22"/>
        </w:rPr>
        <w:t xml:space="preserve">Sexual assault or egregious sexual harassment</w:t>
      </w:r>
    </w:p>
    <w:p>
      <w:pPr>
        <w:pStyle w:val="ListParagraph"/>
        <w:numPr>
          <w:ilvl w:val="0"/>
          <w:numId w:val="2"/>
        </w:numPr>
        <w:spacing w:after="80"/>
      </w:pPr>
      <w:r>
        <w:rPr>
          <w:rFonts w:ascii="Arial" w:cs="Arial" w:eastAsia="Arial" w:hAnsi="Arial"/>
          <w:sz w:val="22"/>
          <w:szCs w:val="22"/>
        </w:rPr>
        <w:t xml:space="preserve">Theft, fraud, or embezzlement of Company or employee property</w:t>
      </w:r>
    </w:p>
    <w:p>
      <w:pPr>
        <w:pStyle w:val="ListParagraph"/>
        <w:numPr>
          <w:ilvl w:val="0"/>
          <w:numId w:val="2"/>
        </w:numPr>
        <w:spacing w:after="80"/>
      </w:pPr>
      <w:r>
        <w:rPr>
          <w:rFonts w:ascii="Arial" w:cs="Arial" w:eastAsia="Arial" w:hAnsi="Arial"/>
          <w:sz w:val="22"/>
          <w:szCs w:val="22"/>
        </w:rPr>
        <w:t xml:space="preserve">Unauthorized disclosure of confidential data or trade secrets to external parties</w:t>
      </w:r>
    </w:p>
    <w:p>
      <w:pPr>
        <w:pStyle w:val="ListParagraph"/>
        <w:numPr>
          <w:ilvl w:val="0"/>
          <w:numId w:val="2"/>
        </w:numPr>
        <w:spacing w:after="80"/>
      </w:pPr>
      <w:r>
        <w:rPr>
          <w:rFonts w:ascii="Arial" w:cs="Arial" w:eastAsia="Arial" w:hAnsi="Arial"/>
          <w:sz w:val="22"/>
          <w:szCs w:val="22"/>
        </w:rPr>
        <w:t xml:space="preserve">Deliberate sabotage of Company systems, data, or operations</w:t>
      </w:r>
    </w:p>
    <w:p>
      <w:pPr>
        <w:pStyle w:val="ListParagraph"/>
        <w:numPr>
          <w:ilvl w:val="0"/>
          <w:numId w:val="2"/>
        </w:numPr>
        <w:spacing w:after="80"/>
      </w:pPr>
      <w:r>
        <w:rPr>
          <w:rFonts w:ascii="Arial" w:cs="Arial" w:eastAsia="Arial" w:hAnsi="Arial"/>
          <w:sz w:val="22"/>
          <w:szCs w:val="22"/>
        </w:rPr>
        <w:t xml:space="preserve">Reporting to work while materially impaired, where safety is at risk</w:t>
      </w:r>
    </w:p>
    <w:p>
      <w:pPr>
        <w:pStyle w:val="ListParagraph"/>
        <w:numPr>
          <w:ilvl w:val="0"/>
          <w:numId w:val="2"/>
        </w:numPr>
        <w:spacing w:after="80"/>
      </w:pPr>
      <w:r>
        <w:rPr>
          <w:rFonts w:ascii="Arial" w:cs="Arial" w:eastAsia="Arial" w:hAnsi="Arial"/>
          <w:sz w:val="22"/>
          <w:szCs w:val="22"/>
        </w:rPr>
        <w:t xml:space="preserve">Serious violations of applicable law that expose the Company to liability</w:t>
      </w:r>
    </w:p>
    <w:p>
      <w:pPr>
        <w:pStyle w:val="ListParagraph"/>
        <w:numPr>
          <w:ilvl w:val="0"/>
          <w:numId w:val="2"/>
        </w:numPr>
        <w:spacing w:after="80"/>
      </w:pPr>
      <w:r>
        <w:rPr>
          <w:rFonts w:ascii="Arial" w:cs="Arial" w:eastAsia="Arial" w:hAnsi="Arial"/>
          <w:sz w:val="22"/>
          <w:szCs w:val="22"/>
        </w:rPr>
        <w:t xml:space="preserve">Possession of weapons on Company premises</w:t>
      </w:r>
    </w:p>
    <w:p>
      <w:pPr>
        <w:pStyle w:val="ListParagraph"/>
        <w:numPr>
          <w:ilvl w:val="0"/>
          <w:numId w:val="2"/>
        </w:numPr>
        <w:spacing w:after="80"/>
      </w:pPr>
      <w:r>
        <w:rPr>
          <w:rFonts w:ascii="Arial" w:cs="Arial" w:eastAsia="Arial" w:hAnsi="Arial"/>
          <w:sz w:val="22"/>
          <w:szCs w:val="22"/>
        </w:rPr>
        <w:t xml:space="preserve">Falsification of records in connection with a compliance or legal matter</w:t>
      </w:r>
    </w:p>
    <w:p>
      <w:pPr>
        <w:pStyle w:val="Heading1"/>
        <w:pBdr>
          <w:bottom w:val="single" w:color="2E75B6" w:sz="6" w:space="4"/>
        </w:pBdr>
        <w:spacing w:after="160" w:before="400"/>
      </w:pPr>
      <w:r>
        <w:rPr>
          <w:rFonts w:ascii="Arial" w:cs="Arial" w:eastAsia="Arial" w:hAnsi="Arial"/>
          <w:b/>
          <w:bCs/>
          <w:color w:val="1F3864"/>
          <w:sz w:val="28"/>
          <w:szCs w:val="28"/>
        </w:rPr>
        <w:t xml:space="preserve">8. Final Pay, Benefits &amp; Offboarding</w:t>
      </w:r>
    </w:p>
    <w:p>
      <w:pPr>
        <w:pStyle w:val="Heading2"/>
        <w:spacing w:after="120" w:before="280"/>
      </w:pPr>
      <w:r>
        <w:rPr>
          <w:rFonts w:ascii="Arial" w:cs="Arial" w:eastAsia="Arial" w:hAnsi="Arial"/>
          <w:b/>
          <w:bCs/>
          <w:color w:val="2E75B6"/>
          <w:sz w:val="24"/>
          <w:szCs w:val="24"/>
        </w:rPr>
        <w:t xml:space="preserve">8.1  Final Paycheck</w:t>
      </w:r>
    </w:p>
    <w:p>
      <w:pPr>
        <w:spacing w:after="120"/>
      </w:pPr>
      <w:r>
        <w:rPr>
          <w:rFonts w:ascii="Arial" w:cs="Arial" w:eastAsia="Arial" w:hAnsi="Arial"/>
          <w:sz w:val="22"/>
          <w:szCs w:val="22"/>
        </w:rPr>
        <w:t xml:space="preserve">Final pay will be issued in accordance with applicable state laws. In most jurisdictions, final pay is due on the last day of employment or within a specified statutory timeframe. Accrued, unused PTO will be paid out per local law and Company policy.</w:t>
      </w:r>
    </w:p>
    <w:p>
      <w:pPr>
        <w:pStyle w:val="Heading2"/>
        <w:spacing w:after="120" w:before="280"/>
      </w:pPr>
      <w:r>
        <w:rPr>
          <w:rFonts w:ascii="Arial" w:cs="Arial" w:eastAsia="Arial" w:hAnsi="Arial"/>
          <w:b/>
          <w:bCs/>
          <w:color w:val="2E75B6"/>
          <w:sz w:val="24"/>
          <w:szCs w:val="24"/>
        </w:rPr>
        <w:t xml:space="preserve">8.2  Benefits Continuation</w:t>
      </w:r>
    </w:p>
    <w:p>
      <w:pPr>
        <w:spacing w:after="120"/>
      </w:pPr>
      <w:r>
        <w:rPr>
          <w:rFonts w:ascii="Arial" w:cs="Arial" w:eastAsia="Arial" w:hAnsi="Arial"/>
          <w:sz w:val="22"/>
          <w:szCs w:val="22"/>
        </w:rPr>
        <w:t xml:space="preserve">Health insurance coverage will continue through the end of the month in which employment ends, unless otherwise required by law. COBRA or equivalent continuation coverage information will be provided within the legally required timeframe.</w:t>
      </w:r>
    </w:p>
    <w:p>
      <w:pPr>
        <w:pStyle w:val="Heading2"/>
        <w:spacing w:after="120" w:before="280"/>
      </w:pPr>
      <w:r>
        <w:rPr>
          <w:rFonts w:ascii="Arial" w:cs="Arial" w:eastAsia="Arial" w:hAnsi="Arial"/>
          <w:b/>
          <w:bCs/>
          <w:color w:val="2E75B6"/>
          <w:sz w:val="24"/>
          <w:szCs w:val="24"/>
        </w:rPr>
        <w:t xml:space="preserve">8.3  Equity &amp; Stock</w:t>
      </w:r>
    </w:p>
    <w:p>
      <w:pPr>
        <w:spacing w:after="120"/>
      </w:pPr>
      <w:r>
        <w:rPr>
          <w:rFonts w:ascii="Arial" w:cs="Arial" w:eastAsia="Arial" w:hAnsi="Arial"/>
          <w:sz w:val="22"/>
          <w:szCs w:val="22"/>
        </w:rPr>
        <w:t xml:space="preserve">Equity vesting ceases on the termination date. Vested equity must typically be exercised within 90 days of separation (or as specified in the grant agreement). Unvested equity is forfeited. Terms may differ in cases of gross misconduct.</w:t>
      </w:r>
    </w:p>
    <w:p>
      <w:pPr>
        <w:pStyle w:val="Heading2"/>
        <w:spacing w:after="120" w:before="280"/>
      </w:pPr>
      <w:r>
        <w:rPr>
          <w:rFonts w:ascii="Arial" w:cs="Arial" w:eastAsia="Arial" w:hAnsi="Arial"/>
          <w:b/>
          <w:bCs/>
          <w:color w:val="2E75B6"/>
          <w:sz w:val="24"/>
          <w:szCs w:val="24"/>
        </w:rPr>
        <w:t xml:space="preserve">8.4  Return of Property</w:t>
      </w:r>
    </w:p>
    <w:p>
      <w:pPr>
        <w:spacing w:after="120"/>
      </w:pPr>
      <w:r>
        <w:rPr>
          <w:rFonts w:ascii="Arial" w:cs="Arial" w:eastAsia="Arial" w:hAnsi="Arial"/>
          <w:sz w:val="22"/>
          <w:szCs w:val="22"/>
        </w:rPr>
        <w:t xml:space="preserve">All Company property must be returned on or before the last day of employment, including: laptops, mobile devices, access badges, physical files, and any proprietary materials. Failure to return Company property may result in deductions from final pay where permitted by law, or legal action.</w:t>
      </w:r>
    </w:p>
    <w:p>
      <w:pPr>
        <w:pStyle w:val="Heading2"/>
        <w:spacing w:after="120" w:before="280"/>
      </w:pPr>
      <w:r>
        <w:rPr>
          <w:rFonts w:ascii="Arial" w:cs="Arial" w:eastAsia="Arial" w:hAnsi="Arial"/>
          <w:b/>
          <w:bCs/>
          <w:color w:val="2E75B6"/>
          <w:sz w:val="24"/>
          <w:szCs w:val="24"/>
        </w:rPr>
        <w:t xml:space="preserve">8.5  Access Revocation</w:t>
      </w:r>
    </w:p>
    <w:p>
      <w:pPr>
        <w:spacing w:after="120"/>
      </w:pPr>
      <w:r>
        <w:rPr>
          <w:rFonts w:ascii="Arial" w:cs="Arial" w:eastAsia="Arial" w:hAnsi="Arial"/>
          <w:sz w:val="22"/>
          <w:szCs w:val="22"/>
        </w:rPr>
        <w:t xml:space="preserve">System access, email, building access, and all related credentials will be revoked on the termination date. In cases involving security concerns, access may be revoked immediately upon notification.</w:t>
      </w:r>
    </w:p>
    <w:p>
      <w:pPr>
        <w:pStyle w:val="Heading2"/>
        <w:spacing w:after="120" w:before="280"/>
      </w:pPr>
      <w:r>
        <w:rPr>
          <w:rFonts w:ascii="Arial" w:cs="Arial" w:eastAsia="Arial" w:hAnsi="Arial"/>
          <w:b/>
          <w:bCs/>
          <w:color w:val="2E75B6"/>
          <w:sz w:val="24"/>
          <w:szCs w:val="24"/>
        </w:rPr>
        <w:t xml:space="preserve">8.6  References</w:t>
      </w:r>
    </w:p>
    <w:p>
      <w:pPr>
        <w:spacing w:after="120"/>
      </w:pPr>
      <w:r>
        <w:rPr>
          <w:rFonts w:ascii="Arial" w:cs="Arial" w:eastAsia="Arial" w:hAnsi="Arial"/>
          <w:sz w:val="22"/>
          <w:szCs w:val="22"/>
        </w:rPr>
        <w:t xml:space="preserve">The Company's standard practice is to confirm dates of employment and job title only. Employees may request a reference letter from their manager, which HR must review and approve.</w:t>
      </w:r>
    </w:p>
    <w:p>
      <w:pPr>
        <w:pStyle w:val="Heading1"/>
        <w:pBdr>
          <w:bottom w:val="single" w:color="2E75B6" w:sz="6" w:space="4"/>
        </w:pBdr>
        <w:spacing w:after="160" w:before="400"/>
      </w:pPr>
      <w:r>
        <w:rPr>
          <w:rFonts w:ascii="Arial" w:cs="Arial" w:eastAsia="Arial" w:hAnsi="Arial"/>
          <w:b/>
          <w:bCs/>
          <w:color w:val="1F3864"/>
          <w:sz w:val="28"/>
          <w:szCs w:val="28"/>
        </w:rPr>
        <w:t xml:space="preserve">9. Employee Rights &amp; Protections</w:t>
      </w:r>
    </w:p>
    <w:p>
      <w:pPr>
        <w:pStyle w:val="ListParagraph"/>
        <w:numPr>
          <w:ilvl w:val="0"/>
          <w:numId w:val="2"/>
        </w:numPr>
        <w:spacing w:after="80"/>
      </w:pPr>
      <w:r>
        <w:rPr>
          <w:rFonts w:ascii="Arial" w:cs="Arial" w:eastAsia="Arial" w:hAnsi="Arial"/>
          <w:sz w:val="22"/>
          <w:szCs w:val="22"/>
        </w:rPr>
        <w:t xml:space="preserve">Employees have the right to be informed of the reason(s) for disciplinary action in writing</w:t>
      </w:r>
    </w:p>
    <w:p>
      <w:pPr>
        <w:pStyle w:val="ListParagraph"/>
        <w:numPr>
          <w:ilvl w:val="0"/>
          <w:numId w:val="2"/>
        </w:numPr>
        <w:spacing w:after="80"/>
      </w:pPr>
      <w:r>
        <w:rPr>
          <w:rFonts w:ascii="Arial" w:cs="Arial" w:eastAsia="Arial" w:hAnsi="Arial"/>
          <w:sz w:val="22"/>
          <w:szCs w:val="22"/>
        </w:rPr>
        <w:t xml:space="preserve">Employees may request HR review of disciplinary decisions</w:t>
      </w:r>
    </w:p>
    <w:p>
      <w:pPr>
        <w:pStyle w:val="ListParagraph"/>
        <w:numPr>
          <w:ilvl w:val="0"/>
          <w:numId w:val="2"/>
        </w:numPr>
        <w:spacing w:after="80"/>
      </w:pPr>
      <w:r>
        <w:rPr>
          <w:rFonts w:ascii="Arial" w:cs="Arial" w:eastAsia="Arial" w:hAnsi="Arial"/>
          <w:sz w:val="22"/>
          <w:szCs w:val="22"/>
        </w:rPr>
        <w:t xml:space="preserve">Employees may not be terminated or retaliated against for engaging in legally protected activities</w:t>
      </w:r>
    </w:p>
    <w:p>
      <w:pPr>
        <w:pStyle w:val="ListParagraph"/>
        <w:numPr>
          <w:ilvl w:val="0"/>
          <w:numId w:val="2"/>
        </w:numPr>
        <w:spacing w:after="80"/>
      </w:pPr>
      <w:r>
        <w:rPr>
          <w:rFonts w:ascii="Arial" w:cs="Arial" w:eastAsia="Arial" w:hAnsi="Arial"/>
          <w:sz w:val="22"/>
          <w:szCs w:val="22"/>
        </w:rPr>
        <w:t xml:space="preserve">Employees in jurisdictions with 'just cause' employment protections will be treated in accordance with those requirements</w:t>
      </w:r>
    </w:p>
    <w:p>
      <w:pPr>
        <w:pStyle w:val="ListParagraph"/>
        <w:numPr>
          <w:ilvl w:val="0"/>
          <w:numId w:val="2"/>
        </w:numPr>
        <w:spacing w:after="80"/>
      </w:pPr>
      <w:r>
        <w:rPr>
          <w:rFonts w:ascii="Arial" w:cs="Arial" w:eastAsia="Arial" w:hAnsi="Arial"/>
          <w:sz w:val="22"/>
          <w:szCs w:val="22"/>
        </w:rPr>
        <w:t xml:space="preserve">Employees may consult legal counsel prior to signing any separation agreement</w:t>
      </w:r>
    </w:p>
    <w:p>
      <w:pPr>
        <w:pStyle w:val="ListParagraph"/>
        <w:numPr>
          <w:ilvl w:val="0"/>
          <w:numId w:val="2"/>
        </w:numPr>
        <w:spacing w:after="80"/>
      </w:pPr>
      <w:r>
        <w:rPr>
          <w:rFonts w:ascii="Arial" w:cs="Arial" w:eastAsia="Arial" w:hAnsi="Arial"/>
          <w:sz w:val="22"/>
          <w:szCs w:val="22"/>
        </w:rPr>
        <w:t xml:space="preserve">Separation agreements that include a waiver of legal claims will include a consideration period and, where required by law, a revocation period</w:t>
      </w:r>
    </w:p>
    <w:p>
      <w:pPr>
        <w:pStyle w:val="Heading1"/>
        <w:pBdr>
          <w:bottom w:val="single" w:color="2E75B6" w:sz="6" w:space="4"/>
        </w:pBdr>
        <w:spacing w:after="160" w:before="400"/>
      </w:pPr>
      <w:r>
        <w:rPr>
          <w:rFonts w:ascii="Arial" w:cs="Arial" w:eastAsia="Arial" w:hAnsi="Arial"/>
          <w:b/>
          <w:bCs/>
          <w:color w:val="1F3864"/>
          <w:sz w:val="28"/>
          <w:szCs w:val="28"/>
        </w:rPr>
        <w:t xml:space="preserve">10. At-Will Employment Notice</w:t>
      </w:r>
    </w:p>
    <w:p>
      <w:pPr>
        <w:pBdr>
          <w:left w:val="single" w:color="2E75B6" w:sz="20"/>
        </w:pBdr>
        <w:shd w:fill="D6E4F0" w:val="clear"/>
        <w:spacing w:after="80" w:before="80"/>
        <w:ind w:left="280" w:right="280"/>
      </w:pPr>
      <w:r>
        <w:rPr>
          <w:rFonts w:ascii="Arial" w:cs="Arial" w:eastAsia="Arial" w:hAnsi="Arial"/>
          <w:i/>
          <w:iCs/>
          <w:sz w:val="21"/>
          <w:szCs w:val="21"/>
        </w:rPr>
        <w:t xml:space="preserve">Unless otherwise specified in a written employment agreement, employment with the Company is at-will, meaning either the employee or the Company may end the employment relationship at any time, for any lawful reason or no reason at all, with or without notice. Nothing in this policy creates a contract of employment or guarantees continued employment.</w:t>
      </w:r>
    </w:p>
    <w:p>
      <w:pPr>
        <w:spacing w:after="120"/>
      </w:pPr>
    </w:p>
    <w:p>
      <w:pPr>
        <w:spacing w:after="120"/>
      </w:pPr>
      <w:r>
        <w:rPr>
          <w:rFonts w:ascii="Arial" w:cs="Arial" w:eastAsia="Arial" w:hAnsi="Arial"/>
          <w:sz w:val="22"/>
          <w:szCs w:val="22"/>
        </w:rPr>
        <w:t xml:space="preserve">Employees in jurisdictions that require just cause for termination are subject to the requirements of their local law, which supersedes the at-will statement above to the extent required.</w:t>
      </w:r>
    </w:p>
    <w:p>
      <w:pPr>
        <w:pStyle w:val="Heading1"/>
        <w:pBdr>
          <w:bottom w:val="single" w:color="2E75B6" w:sz="6" w:space="4"/>
        </w:pBdr>
        <w:spacing w:after="160" w:before="400"/>
      </w:pPr>
      <w:r>
        <w:rPr>
          <w:rFonts w:ascii="Arial" w:cs="Arial" w:eastAsia="Arial" w:hAnsi="Arial"/>
          <w:b/>
          <w:bCs/>
          <w:color w:val="1F3864"/>
          <w:sz w:val="28"/>
          <w:szCs w:val="28"/>
        </w:rPr>
        <w:t xml:space="preserve">11. Policy Administration &amp; Review</w:t>
      </w:r>
    </w:p>
    <w:p>
      <w:pPr>
        <w:pStyle w:val="ListParagraph"/>
        <w:numPr>
          <w:ilvl w:val="0"/>
          <w:numId w:val="2"/>
        </w:numPr>
        <w:spacing w:after="80"/>
      </w:pPr>
      <w:r>
        <w:rPr>
          <w:rFonts w:ascii="Arial" w:cs="Arial" w:eastAsia="Arial" w:hAnsi="Arial"/>
          <w:sz w:val="22"/>
          <w:szCs w:val="22"/>
        </w:rPr>
        <w:t xml:space="preserve">This policy is reviewed and updated annually by the People &amp; HR team</w:t>
      </w:r>
    </w:p>
    <w:p>
      <w:pPr>
        <w:pStyle w:val="ListParagraph"/>
        <w:numPr>
          <w:ilvl w:val="0"/>
          <w:numId w:val="2"/>
        </w:numPr>
        <w:spacing w:after="80"/>
      </w:pPr>
      <w:r>
        <w:rPr>
          <w:rFonts w:ascii="Arial" w:cs="Arial" w:eastAsia="Arial" w:hAnsi="Arial"/>
          <w:sz w:val="22"/>
          <w:szCs w:val="22"/>
        </w:rPr>
        <w:t xml:space="preserve">Amendments may be made at any time to reflect changes in applicable law or business requirements</w:t>
      </w:r>
    </w:p>
    <w:p>
      <w:pPr>
        <w:pStyle w:val="ListParagraph"/>
        <w:numPr>
          <w:ilvl w:val="0"/>
          <w:numId w:val="2"/>
        </w:numPr>
        <w:spacing w:after="80"/>
      </w:pPr>
      <w:r>
        <w:rPr>
          <w:rFonts w:ascii="Arial" w:cs="Arial" w:eastAsia="Arial" w:hAnsi="Arial"/>
          <w:sz w:val="22"/>
          <w:szCs w:val="22"/>
        </w:rPr>
        <w:t xml:space="preserve">Employees will be notified of material changes via the Company intranet and email</w:t>
      </w:r>
    </w:p>
    <w:p>
      <w:pPr>
        <w:pStyle w:val="ListParagraph"/>
        <w:numPr>
          <w:ilvl w:val="0"/>
          <w:numId w:val="2"/>
        </w:numPr>
        <w:spacing w:after="80"/>
      </w:pPr>
      <w:r>
        <w:rPr>
          <w:rFonts w:ascii="Arial" w:cs="Arial" w:eastAsia="Arial" w:hAnsi="Arial"/>
          <w:sz w:val="22"/>
          <w:szCs w:val="22"/>
        </w:rPr>
        <w:t xml:space="preserve">Questions regarding this policy should be directed to People Operations at hr@company.com</w:t>
      </w:r>
    </w:p>
    <w:p>
      <w:pPr>
        <w:pStyle w:val="ListParagraph"/>
        <w:numPr>
          <w:ilvl w:val="0"/>
          <w:numId w:val="2"/>
        </w:numPr>
        <w:spacing w:after="80"/>
      </w:pPr>
      <w:r>
        <w:rPr>
          <w:rFonts w:ascii="Arial" w:cs="Arial" w:eastAsia="Arial" w:hAnsi="Arial"/>
          <w:sz w:val="22"/>
          <w:szCs w:val="22"/>
        </w:rPr>
        <w:t xml:space="preserve">This policy does not limit the Company's right to take action outside the described steps where circumstances warrant</w:t>
      </w:r>
    </w:p>
    <w:p>
      <w:pPr>
        <w:spacing w:after="200"/>
      </w:pPr>
    </w:p>
    <w:p>
      <w:pPr>
        <w:pBdr>
          <w:top w:val="single" w:color="CCCCCC" w:sz="4"/>
        </w:pBdr>
        <w:spacing w:after="120" w:before="240"/>
      </w:pPr>
    </w:p>
    <w:p>
      <w:pPr>
        <w:spacing w:after="80"/>
        <w:jc w:val="center"/>
      </w:pPr>
      <w:r>
        <w:rPr>
          <w:rFonts w:ascii="Arial" w:cs="Arial" w:eastAsia="Arial" w:hAnsi="Arial"/>
          <w:b/>
          <w:bCs/>
          <w:color w:val="1F3864"/>
          <w:sz w:val="24"/>
          <w:szCs w:val="24"/>
        </w:rPr>
        <w:t xml:space="preserve">EMPLOYEE ACKNOWLEDGMENT</w:t>
      </w:r>
    </w:p>
    <w:p>
      <w:pPr>
        <w:spacing w:after="120"/>
      </w:pPr>
      <w:r>
        <w:rPr>
          <w:rFonts w:ascii="Arial" w:cs="Arial" w:eastAsia="Arial" w:hAnsi="Arial"/>
          <w:sz w:val="22"/>
          <w:szCs w:val="22"/>
        </w:rPr>
        <w:t xml:space="preserve">By signing below, I acknowledge that I have received, read, and understood the Employee Termination Policy. I understand that this policy does not constitute a contract of employment and that my employment is at-will unless otherwise specified in a signed agreement.</w:t>
      </w:r>
    </w:p>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560"/>
      </w:tblGrid>
      <w:tr>
        <w:tc>
          <w:tcPr>
            <w:tcW w:type="dxa" w:w="4000"/>
            <w:tcBorders>
              <w:top w:val="single" w:color="CCCCCC" w:sz="1"/>
              <w:left w:val="none"/>
              <w:bottom w:val="none"/>
              <w:right w:val="none"/>
            </w:tcBorders>
          </w:tcPr>
          <w:p>
            <w:r>
              <w:rPr>
                <w:rFonts w:ascii="Arial" w:cs="Arial" w:eastAsia="Arial" w:hAnsi="Arial"/>
                <w:color w:val="666666"/>
                <w:sz w:val="20"/>
                <w:szCs w:val="20"/>
              </w:rPr>
              <w:t xml:space="preserve">Employee Signature</w:t>
            </w:r>
          </w:p>
        </w:tc>
        <w:tc>
          <w:tcPr>
            <w:tcW w:type="dxa" w:w="800"/>
            <w:tcBorders>
              <w:top w:val="none"/>
              <w:left w:val="none"/>
              <w:bottom w:val="none"/>
              <w:right w:val="none"/>
            </w:tcBorders>
          </w:tcPr>
          <w:p/>
        </w:tc>
        <w:tc>
          <w:tcPr>
            <w:tcW w:type="dxa" w:w="4560"/>
            <w:tcBorders>
              <w:top w:val="single" w:color="CCCCCC" w:sz="1"/>
              <w:left w:val="none"/>
              <w:bottom w:val="none"/>
              <w:right w:val="none"/>
            </w:tcBorders>
          </w:tcPr>
          <w:p>
            <w:r>
              <w:rPr>
                <w:rFonts w:ascii="Arial" w:cs="Arial" w:eastAsia="Arial" w:hAnsi="Arial"/>
                <w:color w:val="666666"/>
                <w:sz w:val="20"/>
                <w:szCs w:val="20"/>
              </w:rPr>
              <w:t xml:space="preserve">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Employee Termination Policy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2026-03-02T00:44:44.265Z</dcterms:created>
  <dcterms:modified xsi:type="dcterms:W3CDTF">2026-03-02T00:44:44.266Z</dcterms:modified>
</cp:coreProperties>
</file>

<file path=docProps/custom.xml><?xml version="1.0" encoding="utf-8"?>
<Properties xmlns="http://schemas.openxmlformats.org/officeDocument/2006/custom-properties" xmlns:vt="http://schemas.openxmlformats.org/officeDocument/2006/docPropsVTypes"/>
</file>