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pPr>
      <w:r>
        <w:rPr>
          <w:rFonts w:ascii="Arial" w:cs="Arial" w:eastAsia="Arial" w:hAnsi="Arial"/>
          <w:sz w:val="8"/>
          <w:szCs w:val="8"/>
        </w:rPr>
        <w:t xml:space="preserve"> </w:t>
      </w:r>
    </w:p>
    <w:p>
      <w:pPr>
        <w:spacing w:after="80" w:before="280"/>
        <w:jc w:val="center"/>
      </w:pPr>
      <w:r>
        <w:rPr>
          <w:rFonts w:ascii="Arial" w:cs="Arial" w:eastAsia="Arial" w:hAnsi="Arial"/>
          <w:b/>
          <w:bCs/>
          <w:color w:val="1B2A4A"/>
          <w:sz w:val="44"/>
          <w:szCs w:val="44"/>
        </w:rPr>
        <w:t xml:space="preserve">LEAVE ACCRUAL, SUBMISSION</w:t>
      </w:r>
    </w:p>
    <w:p>
      <w:pPr>
        <w:spacing w:after="80"/>
        <w:jc w:val="center"/>
      </w:pPr>
      <w:r>
        <w:rPr>
          <w:rFonts w:ascii="Arial" w:cs="Arial" w:eastAsia="Arial" w:hAnsi="Arial"/>
          <w:b/>
          <w:bCs/>
          <w:color w:val="1D6A72"/>
          <w:sz w:val="44"/>
          <w:szCs w:val="44"/>
        </w:rPr>
        <w:t xml:space="preserve">&amp; ATTENDANCE EXPECTATIONS</w:t>
      </w:r>
    </w:p>
    <w:p>
      <w:pPr>
        <w:spacing w:after="80"/>
        <w:jc w:val="center"/>
      </w:pPr>
      <w:r>
        <w:rPr>
          <w:rFonts w:ascii="Arial" w:cs="Arial" w:eastAsia="Arial" w:hAnsi="Arial"/>
          <w:color w:val="555555"/>
          <w:sz w:val="24"/>
          <w:szCs w:val="24"/>
        </w:rPr>
        <w:t xml:space="preserve">Policy for Salaried &amp; Hourly Employees</w:t>
      </w:r>
    </w:p>
    <w:p>
      <w:pPr>
        <w:spacing w:after="360"/>
        <w:jc w:val="center"/>
      </w:pPr>
      <w:r>
        <w:rPr>
          <w:rFonts w:ascii="Arial" w:cs="Arial" w:eastAsia="Arial" w:hAnsi="Arial"/>
          <w:color w:val="888888"/>
          <w:sz w:val="20"/>
          <w:szCs w:val="20"/>
        </w:rPr>
        <w:t xml:space="preserve">Human Resources  |  Version 1.4  |  Effective: January 1, 2025</w:t>
      </w:r>
    </w:p>
    <w:p>
      <w:pPr>
        <w:pBdr>
          <w:top w:val="single" w:color="CCCCCC" w:sz="1"/>
          <w:left w:val="single" w:color="CCCCCC" w:sz="1"/>
          <w:bottom w:val="single" w:color="CCCCCC" w:sz="1"/>
          <w:right w:val="single" w:color="CCCCCC" w:sz="1"/>
        </w:pBdr>
        <w:shd w:fill="F4F6F8" w:val="clear"/>
        <w:spacing w:after="200" w:before="60"/>
        <w:ind w:left="200" w:right="200"/>
      </w:pPr>
      <w:r>
        <w:rPr>
          <w:rFonts w:ascii="Arial" w:cs="Arial" w:eastAsia="Arial" w:hAnsi="Arial"/>
          <w:color w:val="555555"/>
          <w:sz w:val="20"/>
          <w:szCs w:val="20"/>
        </w:rPr>
        <w:t xml:space="preserve">How to read this policy — callout boxes identify rules that apply to a specific worker type:   </w:t>
      </w:r>
      <w:r>
        <w:rPr>
          <w:rFonts w:ascii="Arial" w:cs="Arial" w:eastAsia="Arial" w:hAnsi="Arial"/>
          <w:b/>
          <w:bCs/>
          <w:color w:val="2E5FA3"/>
          <w:sz w:val="20"/>
          <w:szCs w:val="20"/>
        </w:rPr>
        <w:t xml:space="preserve">SALARIED EMPLOYEES</w:t>
      </w:r>
      <w:r>
        <w:rPr>
          <w:rFonts w:ascii="Arial" w:cs="Arial" w:eastAsia="Arial" w:hAnsi="Arial"/>
          <w:sz w:val="20"/>
          <w:szCs w:val="20"/>
        </w:rPr>
        <w:t xml:space="preserve">   </w:t>
      </w:r>
      <w:r>
        <w:rPr>
          <w:rFonts w:ascii="Arial" w:cs="Arial" w:eastAsia="Arial" w:hAnsi="Arial"/>
          <w:b/>
          <w:bCs/>
          <w:color w:val="2D7A3A"/>
          <w:sz w:val="20"/>
          <w:szCs w:val="20"/>
        </w:rPr>
        <w:t xml:space="preserve">HOURLY EMPLOYEES</w:t>
      </w:r>
      <w:r>
        <w:rPr>
          <w:rFonts w:ascii="Arial" w:cs="Arial" w:eastAsia="Arial" w:hAnsi="Arial"/>
          <w:sz w:val="20"/>
          <w:szCs w:val="20"/>
        </w:rPr>
        <w:t xml:space="preserve">   </w:t>
      </w:r>
      <w:r>
        <w:rPr>
          <w:rFonts w:ascii="Arial" w:cs="Arial" w:eastAsia="Arial" w:hAnsi="Arial"/>
          <w:b/>
          <w:bCs/>
          <w:color w:val="1D6A72"/>
          <w:sz w:val="20"/>
          <w:szCs w:val="20"/>
        </w:rPr>
        <w:t xml:space="preserve">ALL EMPLOYEES</w:t>
      </w:r>
    </w:p>
    <w:p>
      <w:pPr>
        <w:pStyle w:val="Heading1"/>
        <w:pBdr>
          <w:bottom w:val="single" w:color="1D6A72" w:sz="8" w:space="4"/>
        </w:pBdr>
        <w:spacing w:after="180" w:before="440"/>
      </w:pPr>
      <w:r>
        <w:rPr>
          <w:rFonts w:ascii="Arial" w:cs="Arial" w:eastAsia="Arial" w:hAnsi="Arial"/>
          <w:b/>
          <w:bCs/>
          <w:color w:val="1B2A4A"/>
          <w:sz w:val="28"/>
          <w:szCs w:val="28"/>
        </w:rPr>
        <w:t xml:space="preserve">1.  Purpose &amp; Scope</w:t>
      </w:r>
    </w:p>
    <w:p>
      <w:pPr>
        <w:spacing w:after="120"/>
      </w:pPr>
      <w:r>
        <w:rPr>
          <w:rFonts w:ascii="Arial" w:cs="Arial" w:eastAsia="Arial" w:hAnsi="Arial"/>
          <w:color w:val="222222"/>
          <w:sz w:val="22"/>
          <w:szCs w:val="22"/>
        </w:rPr>
        <w:t xml:space="preserve">This policy governs how paid leave is earned, tracked, requested, and approved, and sets out the attendance expectations that apply to all employees of the Company. It applies equally to full-time and part-time employees, whether classified as salaried-exempt, salaried-non-exempt, or hourly non-exempt. Where rules differ by classification, this is noted explicitly.</w:t>
      </w:r>
    </w:p>
    <w:p>
      <w:pPr>
        <w:spacing w:after="120"/>
      </w:pPr>
      <w:r>
        <w:rPr>
          <w:rFonts w:ascii="Arial" w:cs="Arial" w:eastAsia="Arial" w:hAnsi="Arial"/>
          <w:color w:val="222222"/>
          <w:sz w:val="22"/>
          <w:szCs w:val="22"/>
        </w:rPr>
        <w:t xml:space="preserve">The policy is designed to balance employees' need for rest, personal time, and unforeseen absences against the Company's operational requirements. It also ensures compliance with applicable federal, state, and local leave laws, including state-mandated accrual minimums and paid sick leave requirements.</w:t>
      </w:r>
    </w:p>
    <w:p>
      <w:pPr>
        <w:pBdr>
          <w:left w:val="single" w:color="2A8F99" w:sz="24"/>
        </w:pBdr>
        <w:shd w:fill="E8F5F6" w:val="clear"/>
        <w:spacing w:after="160" w:before="60"/>
        <w:ind w:left="280" w:right="280"/>
      </w:pPr>
      <w:r>
        <w:rPr>
          <w:rFonts w:ascii="Arial" w:cs="Arial" w:eastAsia="Arial" w:hAnsi="Arial"/>
          <w:b/>
          <w:bCs/>
          <w:color w:val="2A8F99"/>
          <w:sz w:val="21"/>
          <w:szCs w:val="21"/>
        </w:rPr>
        <w:t xml:space="preserve">NOTE: </w:t>
      </w:r>
      <w:r>
        <w:rPr>
          <w:rFonts w:ascii="Arial" w:cs="Arial" w:eastAsia="Arial" w:hAnsi="Arial"/>
          <w:sz w:val="21"/>
          <w:szCs w:val="21"/>
        </w:rPr>
        <w:t xml:space="preserve">This policy does not supersede, and is subject to, applicable federal and state leave laws including the FMLA, state paid family leave programs, state paid sick leave mandates, and any collective bargaining agreements where applicable. Where law provides greater benefits, the law governs.</w:t>
      </w:r>
    </w:p>
    <w:p>
      <w:pPr>
        <w:pStyle w:val="Heading1"/>
        <w:pBdr>
          <w:bottom w:val="single" w:color="1D6A72" w:sz="8" w:space="4"/>
        </w:pBdr>
        <w:spacing w:after="180" w:before="440"/>
      </w:pPr>
      <w:r>
        <w:rPr>
          <w:rFonts w:ascii="Arial" w:cs="Arial" w:eastAsia="Arial" w:hAnsi="Arial"/>
          <w:b/>
          <w:bCs/>
          <w:color w:val="1B2A4A"/>
          <w:sz w:val="28"/>
          <w:szCs w:val="28"/>
        </w:rPr>
        <w:t xml:space="preserve">2.  Key Definitions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Salaried-Exempt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Employees classified as exempt under the FLSA; paid a fixed salary regardless of hours worked; generally not eligible for overtime pay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Salaried-Non-Exempt</w:t>
            </w:r>
          </w:p>
        </w:tc>
        <w:tc>
          <w:tcPr>
            <w:tcW w:type="dxa" w:w="65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Employees paid a fixed salary but classified as non-exempt under the FLSA; overtime rules apply; leave tracked in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Hourly Non-Exempt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Employees paid by the hour; overtime rules apply; all leave tracked in hours and tied directly to scheduled shifts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Accrual</w:t>
            </w:r>
          </w:p>
        </w:tc>
        <w:tc>
          <w:tcPr>
            <w:tcW w:type="dxa" w:w="65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The process of earning leave incrementally over time based on hours worked or pay periods elapsed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Accrual Cap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The maximum balance an employee may accumulate; no further accrual occurs until the balance drops below the cap</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Carryover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Leave balance remaining at year-end that rolls into the next calendar or fiscal year, subject to caps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PTO (Paid Time Off)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A unified leave bank covering vacation, personal days, and in some plans, sick time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Sick Leave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Paid leave designated for illness, injury, medical appointments, and qualifying family care needs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Floating Holiday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A paid day off that may be taken on a date of the employee's choosing, subject to approval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Leave Year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The 12-month period used to track accrual and carryover; the Company uses the calendar year (Jan 1 – Dec 31) unless otherwise noted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No-Call No-Show (NCNS)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An unexcused absence where the employee neither reports to work nor notifies their manager before the scheduled start of their shift or workday</w:t>
            </w:r>
          </w:p>
        </w:tc>
      </w:tr>
    </w:tbl>
    <w:p>
      <w:pPr>
        <w:spacing w:after="160"/>
      </w:pPr>
    </w:p>
    <w:p>
      <w:pPr>
        <w:pStyle w:val="Heading1"/>
        <w:pBdr>
          <w:bottom w:val="single" w:color="1D6A72" w:sz="8" w:space="4"/>
        </w:pBdr>
        <w:spacing w:after="180" w:before="440"/>
      </w:pPr>
      <w:r>
        <w:rPr>
          <w:rFonts w:ascii="Arial" w:cs="Arial" w:eastAsia="Arial" w:hAnsi="Arial"/>
          <w:b/>
          <w:bCs/>
          <w:color w:val="1B2A4A"/>
          <w:sz w:val="28"/>
          <w:szCs w:val="28"/>
        </w:rPr>
        <w:t xml:space="preserve">3.  Types of Leave Covered by This Policy</w:t>
      </w:r>
    </w:p>
    <w:p>
      <w:pPr>
        <w:spacing w:after="120"/>
      </w:pPr>
      <w:r>
        <w:rPr>
          <w:rFonts w:ascii="Arial" w:cs="Arial" w:eastAsia="Arial" w:hAnsi="Arial"/>
          <w:color w:val="222222"/>
          <w:sz w:val="22"/>
          <w:szCs w:val="22"/>
        </w:rPr>
        <w:t xml:space="preserve">The Company provides the following leave categories. Each is governed by specific accrual, eligibility, and usage rules detailed in the sections that follow.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Leave Type</w:t>
            </w:r>
          </w:p>
        </w:tc>
        <w:tc>
          <w:tcPr>
            <w:tcW w:type="dxa" w:w="140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Paid?</w:t>
            </w:r>
          </w:p>
        </w:tc>
        <w:tc>
          <w:tcPr>
            <w:tcW w:type="dxa" w:w="140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Accrued?</w:t>
            </w:r>
          </w:p>
        </w:tc>
        <w:tc>
          <w:tcPr>
            <w:tcW w:type="dxa" w:w="376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Applies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Vacation / PTO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All employees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Sick Leave</w:t>
            </w:r>
          </w:p>
        </w:tc>
        <w:tc>
          <w:tcPr>
            <w:tcW w:type="dxa" w:w="1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Yes</w:t>
            </w:r>
          </w:p>
        </w:tc>
        <w:tc>
          <w:tcPr>
            <w:tcW w:type="dxa" w:w="37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All employees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Floating Holidays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Granted (not accrued)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All employees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Company Holidays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No (granted annually)</w:t>
            </w:r>
          </w:p>
        </w:tc>
        <w:tc>
          <w:tcPr>
            <w:tcW w:type="dxa" w:w="37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All employees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Bereavement Leave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No (event-based)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All employees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Jury Duty / Civic Leave</w:t>
            </w:r>
          </w:p>
        </w:tc>
        <w:tc>
          <w:tcPr>
            <w:tcW w:type="dxa" w:w="1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Yes (partial)</w:t>
            </w:r>
          </w:p>
        </w:tc>
        <w:tc>
          <w:tcPr>
            <w:tcW w:type="dxa" w:w="1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No (event-based)</w:t>
            </w:r>
          </w:p>
        </w:tc>
        <w:tc>
          <w:tcPr>
            <w:tcW w:type="dxa" w:w="37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All employees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FMLA / State Family Leave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Unpaid (may run concurrent with paid)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Eligible employees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Military Leave</w:t>
            </w:r>
          </w:p>
        </w:tc>
        <w:tc>
          <w:tcPr>
            <w:tcW w:type="dxa" w:w="1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Partial (per USERRA)</w:t>
            </w:r>
          </w:p>
        </w:tc>
        <w:tc>
          <w:tcPr>
            <w:tcW w:type="dxa" w:w="1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No</w:t>
            </w:r>
          </w:p>
        </w:tc>
        <w:tc>
          <w:tcPr>
            <w:tcW w:type="dxa" w:w="37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Applicable employees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Parental Leave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Yes (per Parental Leave Policy)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Eligible employees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Unpaid Personal Leave</w:t>
            </w:r>
          </w:p>
        </w:tc>
        <w:tc>
          <w:tcPr>
            <w:tcW w:type="dxa" w:w="1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No</w:t>
            </w:r>
          </w:p>
        </w:tc>
        <w:tc>
          <w:tcPr>
            <w:tcW w:type="dxa" w:w="1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No</w:t>
            </w:r>
          </w:p>
        </w:tc>
        <w:tc>
          <w:tcPr>
            <w:tcW w:type="dxa" w:w="37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Subject to approval</w:t>
            </w:r>
          </w:p>
        </w:tc>
      </w:tr>
    </w:tbl>
    <w:p>
      <w:pPr>
        <w:spacing w:after="160"/>
      </w:pPr>
    </w:p>
    <w:p>
      <w:pPr>
        <w:pBdr>
          <w:left w:val="single" w:color="2A8F99" w:sz="24"/>
        </w:pBdr>
        <w:shd w:fill="E8F5F6" w:val="clear"/>
        <w:spacing w:after="160" w:before="60"/>
        <w:ind w:left="280" w:right="280"/>
      </w:pPr>
      <w:r>
        <w:rPr>
          <w:rFonts w:ascii="Arial" w:cs="Arial" w:eastAsia="Arial" w:hAnsi="Arial"/>
          <w:b/>
          <w:bCs/>
          <w:color w:val="2A8F99"/>
          <w:sz w:val="21"/>
          <w:szCs w:val="21"/>
        </w:rPr>
        <w:t xml:space="preserve">NOTE: </w:t>
      </w:r>
      <w:r>
        <w:rPr>
          <w:rFonts w:ascii="Arial" w:cs="Arial" w:eastAsia="Arial" w:hAnsi="Arial"/>
          <w:sz w:val="21"/>
          <w:szCs w:val="21"/>
        </w:rPr>
        <w:t xml:space="preserve">Parental Leave, FMLA, State Disability, and Military Leave are governed by separate policy documents. This policy covers the leave types listed above. Where leaves overlap, HR will coordinate the concurrent application of all applicable entitlements.</w:t>
      </w:r>
    </w:p>
    <w:p>
      <w:pPr>
        <w:pStyle w:val="Heading1"/>
        <w:pBdr>
          <w:bottom w:val="single" w:color="1D6A72" w:sz="8" w:space="4"/>
        </w:pBdr>
        <w:spacing w:after="180" w:before="440"/>
      </w:pPr>
      <w:r>
        <w:rPr>
          <w:rFonts w:ascii="Arial" w:cs="Arial" w:eastAsia="Arial" w:hAnsi="Arial"/>
          <w:b/>
          <w:bCs/>
          <w:color w:val="1B2A4A"/>
          <w:sz w:val="28"/>
          <w:szCs w:val="28"/>
        </w:rPr>
        <w:t xml:space="preserve">4.  Vacation / PTO Accrual</w:t>
      </w:r>
    </w:p>
    <w:p>
      <w:pPr>
        <w:pStyle w:val="Heading2"/>
        <w:spacing w:after="120" w:before="300"/>
      </w:pPr>
      <w:r>
        <w:rPr>
          <w:rFonts w:ascii="Arial" w:cs="Arial" w:eastAsia="Arial" w:hAnsi="Arial"/>
          <w:b/>
          <w:bCs/>
          <w:color w:val="1D6A72"/>
          <w:sz w:val="24"/>
          <w:szCs w:val="24"/>
        </w:rPr>
        <w:t xml:space="preserve">4.1  Accrual Schedule — Salaried Employees</w:t>
      </w:r>
    </w:p>
    <w:p>
      <w:pPr>
        <w:pBdr>
          <w:left w:val="single" w:color="2E5FA3" w:sz="24"/>
        </w:pBdr>
        <w:shd w:fill="EDF3FB" w:val="clear"/>
        <w:spacing w:after="160" w:before="60"/>
        <w:ind w:left="280" w:right="280"/>
      </w:pPr>
      <w:r>
        <w:rPr>
          <w:rFonts w:ascii="Arial" w:cs="Arial" w:eastAsia="Arial" w:hAnsi="Arial"/>
          <w:b/>
          <w:bCs/>
          <w:color w:val="2E5FA3"/>
          <w:sz w:val="21"/>
          <w:szCs w:val="21"/>
        </w:rPr>
        <w:t xml:space="preserve">SALARIED EMPLOYEES: </w:t>
      </w:r>
      <w:r>
        <w:rPr>
          <w:rFonts w:ascii="Arial" w:cs="Arial" w:eastAsia="Arial" w:hAnsi="Arial"/>
          <w:sz w:val="21"/>
          <w:szCs w:val="21"/>
        </w:rPr>
        <w:t xml:space="preserve">Salaried employees accrue PTO based on their tenure tier. Accrual begins on the first day of employment and is credited at the end of each bi-weekly pay period.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000"/>
        <w:gridCol w:w="9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30"/>
              <w:bottom w:type="dxa" w:w="100"/>
              <w:right w:type="dxa" w:w="130"/>
            </w:tcMar>
          </w:tcPr>
          <w:p>
            <w:r>
              <w:rPr>
                <w:rFonts w:ascii="Arial" w:cs="Arial" w:eastAsia="Arial" w:hAnsi="Arial"/>
                <w:b/>
                <w:bCs/>
                <w:color w:val="FFFFFF"/>
                <w:sz w:val="20"/>
                <w:szCs w:val="20"/>
              </w:rPr>
              <w:t xml:space="preserve">Tenure Tier</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30"/>
              <w:bottom w:type="dxa" w:w="100"/>
              <w:right w:type="dxa" w:w="130"/>
            </w:tcMar>
          </w:tcPr>
          <w:p>
            <w:r>
              <w:rPr>
                <w:rFonts w:ascii="Arial" w:cs="Arial" w:eastAsia="Arial" w:hAnsi="Arial"/>
                <w:b/>
                <w:bCs/>
                <w:color w:val="FFFFFF"/>
                <w:sz w:val="20"/>
                <w:szCs w:val="20"/>
              </w:rPr>
              <w:t xml:space="preserve">Annual Accrual</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30"/>
              <w:bottom w:type="dxa" w:w="100"/>
              <w:right w:type="dxa" w:w="130"/>
            </w:tcMar>
          </w:tcPr>
          <w:p>
            <w:r>
              <w:rPr>
                <w:rFonts w:ascii="Arial" w:cs="Arial" w:eastAsia="Arial" w:hAnsi="Arial"/>
                <w:b/>
                <w:bCs/>
                <w:color w:val="FFFFFF"/>
                <w:sz w:val="20"/>
                <w:szCs w:val="20"/>
              </w:rPr>
              <w:t xml:space="preserve">Per Pay Period (26 periods)</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30"/>
              <w:bottom w:type="dxa" w:w="100"/>
              <w:right w:type="dxa" w:w="130"/>
            </w:tcMar>
          </w:tcPr>
          <w:p>
            <w:r>
              <w:rPr>
                <w:rFonts w:ascii="Arial" w:cs="Arial" w:eastAsia="Arial" w:hAnsi="Arial"/>
                <w:b/>
                <w:bCs/>
                <w:color w:val="FFFFFF"/>
                <w:sz w:val="20"/>
                <w:szCs w:val="20"/>
              </w:rPr>
              <w:t xml:space="preserve">Max Carryover</w:t>
            </w:r>
          </w:p>
        </w:tc>
        <w:tc>
          <w:tcPr>
            <w:tcW w:type="dxa" w:w="960"/>
            <w:tcBorders>
              <w:top w:val="single" w:color="CCCCCC" w:sz="1"/>
              <w:left w:val="single" w:color="CCCCCC" w:sz="1"/>
              <w:bottom w:val="single" w:color="CCCCCC" w:sz="1"/>
              <w:right w:val="single" w:color="CCCCCC" w:sz="1"/>
            </w:tcBorders>
            <w:shd w:fill="2E5FA3" w:val="clear"/>
            <w:tcMar>
              <w:top w:type="dxa" w:w="100"/>
              <w:left w:type="dxa" w:w="130"/>
              <w:bottom w:type="dxa" w:w="100"/>
              <w:right w:type="dxa" w:w="130"/>
            </w:tcMar>
          </w:tcPr>
          <w:p>
            <w:r>
              <w:rPr>
                <w:rFonts w:ascii="Arial" w:cs="Arial" w:eastAsia="Arial" w:hAnsi="Arial"/>
                <w:b/>
                <w:bCs/>
                <w:color w:val="FFFFFF"/>
                <w:sz w:val="20"/>
                <w:szCs w:val="20"/>
              </w:rPr>
              <w:t xml:space="preserve">Accrual Cap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0 – 2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10 days (80 hrs)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3.08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5 days (40 hrs)</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15 days (120 hrs)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2 – 5 years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15 days (120 hrs)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4.62 hrs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7 days (56 hrs)</w:t>
            </w:r>
          </w:p>
        </w:tc>
        <w:tc>
          <w:tcPr>
            <w:tcW w:type="dxa" w:w="9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22 days (176 hrs)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5 – 10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20 days (160 hrs)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6.15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10 days (80 hrs)</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30 days (240 hrs)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10+ years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25 days (200 hrs)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7.69 hrs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10 days (80 hrs)</w:t>
            </w:r>
          </w:p>
        </w:tc>
        <w:tc>
          <w:tcPr>
            <w:tcW w:type="dxa" w:w="9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35 days (280 hrs)</w:t>
            </w:r>
          </w:p>
        </w:tc>
      </w:tr>
    </w:tbl>
    <w:p>
      <w:pPr>
        <w:spacing w:after="160"/>
      </w:pPr>
    </w:p>
    <w:p>
      <w:pPr>
        <w:pStyle w:val="Heading2"/>
        <w:spacing w:after="120" w:before="300"/>
      </w:pPr>
      <w:r>
        <w:rPr>
          <w:rFonts w:ascii="Arial" w:cs="Arial" w:eastAsia="Arial" w:hAnsi="Arial"/>
          <w:b/>
          <w:bCs/>
          <w:color w:val="1D6A72"/>
          <w:sz w:val="24"/>
          <w:szCs w:val="24"/>
        </w:rPr>
        <w:t xml:space="preserve">4.2  Accrual Schedule — Hourly Employees</w:t>
      </w:r>
    </w:p>
    <w:p>
      <w:pPr>
        <w:pBdr>
          <w:left w:val="single" w:color="2D7A3A" w:sz="24"/>
        </w:pBdr>
        <w:shd w:fill="F0F9F0" w:val="clear"/>
        <w:spacing w:after="160" w:before="60"/>
        <w:ind w:left="280" w:right="280"/>
      </w:pPr>
      <w:r>
        <w:rPr>
          <w:rFonts w:ascii="Arial" w:cs="Arial" w:eastAsia="Arial" w:hAnsi="Arial"/>
          <w:b/>
          <w:bCs/>
          <w:color w:val="2D7A3A"/>
          <w:sz w:val="21"/>
          <w:szCs w:val="21"/>
        </w:rPr>
        <w:t xml:space="preserve">HOURLY EMPLOYEES: </w:t>
      </w:r>
      <w:r>
        <w:rPr>
          <w:rFonts w:ascii="Arial" w:cs="Arial" w:eastAsia="Arial" w:hAnsi="Arial"/>
          <w:sz w:val="21"/>
          <w:szCs w:val="21"/>
        </w:rPr>
        <w:t xml:space="preserve">Hourly employees accrue PTO based on actual hours worked. Overtime hours (beyond 40/week) do not count toward accrual. Leave taken does not count as hours worked for accrual purposes.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2360"/>
        <w:gridCol w:w="1200"/>
      </w:tblGrid>
      <w:tr>
        <w:trPr>
          <w:tblHeader/>
        </w:trPr>
        <w:tc>
          <w:tcPr>
            <w:tcW w:type="dxa" w:w="1600"/>
            <w:tcBorders>
              <w:top w:val="single" w:color="CCCCCC" w:sz="1"/>
              <w:left w:val="single" w:color="CCCCCC" w:sz="1"/>
              <w:bottom w:val="single" w:color="CCCCCC" w:sz="1"/>
              <w:right w:val="single" w:color="CCCCCC" w:sz="1"/>
            </w:tcBorders>
            <w:shd w:fill="2D7A3A" w:val="clear"/>
            <w:tcMar>
              <w:top w:type="dxa" w:w="100"/>
              <w:left w:type="dxa" w:w="130"/>
              <w:bottom w:type="dxa" w:w="100"/>
              <w:right w:type="dxa" w:w="130"/>
            </w:tcMar>
          </w:tcPr>
          <w:p>
            <w:r>
              <w:rPr>
                <w:rFonts w:ascii="Arial" w:cs="Arial" w:eastAsia="Arial" w:hAnsi="Arial"/>
                <w:b/>
                <w:bCs/>
                <w:color w:val="FFFFFF"/>
                <w:sz w:val="20"/>
                <w:szCs w:val="20"/>
              </w:rPr>
              <w:t xml:space="preserve">Tenure Tier</w:t>
            </w:r>
          </w:p>
        </w:tc>
        <w:tc>
          <w:tcPr>
            <w:tcW w:type="dxa" w:w="2200"/>
            <w:tcBorders>
              <w:top w:val="single" w:color="CCCCCC" w:sz="1"/>
              <w:left w:val="single" w:color="CCCCCC" w:sz="1"/>
              <w:bottom w:val="single" w:color="CCCCCC" w:sz="1"/>
              <w:right w:val="single" w:color="CCCCCC" w:sz="1"/>
            </w:tcBorders>
            <w:shd w:fill="2D7A3A" w:val="clear"/>
            <w:tcMar>
              <w:top w:type="dxa" w:w="100"/>
              <w:left w:type="dxa" w:w="130"/>
              <w:bottom w:type="dxa" w:w="100"/>
              <w:right w:type="dxa" w:w="130"/>
            </w:tcMar>
          </w:tcPr>
          <w:p>
            <w:r>
              <w:rPr>
                <w:rFonts w:ascii="Arial" w:cs="Arial" w:eastAsia="Arial" w:hAnsi="Arial"/>
                <w:b/>
                <w:bCs/>
                <w:color w:val="FFFFFF"/>
                <w:sz w:val="20"/>
                <w:szCs w:val="20"/>
              </w:rPr>
              <w:t xml:space="preserve">Accrual Rate</w:t>
            </w:r>
          </w:p>
        </w:tc>
        <w:tc>
          <w:tcPr>
            <w:tcW w:type="dxa" w:w="2000"/>
            <w:tcBorders>
              <w:top w:val="single" w:color="CCCCCC" w:sz="1"/>
              <w:left w:val="single" w:color="CCCCCC" w:sz="1"/>
              <w:bottom w:val="single" w:color="CCCCCC" w:sz="1"/>
              <w:right w:val="single" w:color="CCCCCC" w:sz="1"/>
            </w:tcBorders>
            <w:shd w:fill="2D7A3A" w:val="clear"/>
            <w:tcMar>
              <w:top w:type="dxa" w:w="100"/>
              <w:left w:type="dxa" w:w="130"/>
              <w:bottom w:type="dxa" w:w="100"/>
              <w:right w:type="dxa" w:w="130"/>
            </w:tcMar>
          </w:tcPr>
          <w:p>
            <w:r>
              <w:rPr>
                <w:rFonts w:ascii="Arial" w:cs="Arial" w:eastAsia="Arial" w:hAnsi="Arial"/>
                <w:b/>
                <w:bCs/>
                <w:color w:val="FFFFFF"/>
                <w:sz w:val="20"/>
                <w:szCs w:val="20"/>
              </w:rPr>
              <w:t xml:space="preserve">Example: 40-hr week</w:t>
            </w:r>
          </w:p>
        </w:tc>
        <w:tc>
          <w:tcPr>
            <w:tcW w:type="dxa" w:w="2360"/>
            <w:tcBorders>
              <w:top w:val="single" w:color="CCCCCC" w:sz="1"/>
              <w:left w:val="single" w:color="CCCCCC" w:sz="1"/>
              <w:bottom w:val="single" w:color="CCCCCC" w:sz="1"/>
              <w:right w:val="single" w:color="CCCCCC" w:sz="1"/>
            </w:tcBorders>
            <w:shd w:fill="2D7A3A" w:val="clear"/>
            <w:tcMar>
              <w:top w:type="dxa" w:w="100"/>
              <w:left w:type="dxa" w:w="130"/>
              <w:bottom w:type="dxa" w:w="100"/>
              <w:right w:type="dxa" w:w="130"/>
            </w:tcMar>
          </w:tcPr>
          <w:p>
            <w:r>
              <w:rPr>
                <w:rFonts w:ascii="Arial" w:cs="Arial" w:eastAsia="Arial" w:hAnsi="Arial"/>
                <w:b/>
                <w:bCs/>
                <w:color w:val="FFFFFF"/>
                <w:sz w:val="20"/>
                <w:szCs w:val="20"/>
              </w:rPr>
              <w:t xml:space="preserve">Annual Equivalent (2,080 hrs)</w:t>
            </w:r>
          </w:p>
        </w:tc>
        <w:tc>
          <w:tcPr>
            <w:tcW w:type="dxa" w:w="1200"/>
            <w:tcBorders>
              <w:top w:val="single" w:color="CCCCCC" w:sz="1"/>
              <w:left w:val="single" w:color="CCCCCC" w:sz="1"/>
              <w:bottom w:val="single" w:color="CCCCCC" w:sz="1"/>
              <w:right w:val="single" w:color="CCCCCC" w:sz="1"/>
            </w:tcBorders>
            <w:shd w:fill="2D7A3A" w:val="clear"/>
            <w:tcMar>
              <w:top w:type="dxa" w:w="100"/>
              <w:left w:type="dxa" w:w="130"/>
              <w:bottom w:type="dxa" w:w="100"/>
              <w:right w:type="dxa" w:w="130"/>
            </w:tcMar>
          </w:tcPr>
          <w:p>
            <w:r>
              <w:rPr>
                <w:rFonts w:ascii="Arial" w:cs="Arial" w:eastAsia="Arial" w:hAnsi="Arial"/>
                <w:b/>
                <w:bCs/>
                <w:color w:val="FFFFFF"/>
                <w:sz w:val="20"/>
                <w:szCs w:val="20"/>
              </w:rPr>
              <w:t xml:space="preserve">Max Carryover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0 – 1 year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0.0192 hrs per hr worked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~0.77 hrs/week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~40 hrs (5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20 hrs (2.5 days)</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1 – 3 years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0.0385 hrs per hr worked</w:t>
            </w:r>
          </w:p>
        </w:tc>
        <w:tc>
          <w:tcPr>
            <w:tcW w:type="dxa" w:w="20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~1.54 hrs/week</w:t>
            </w:r>
          </w:p>
        </w:tc>
        <w:tc>
          <w:tcPr>
            <w:tcW w:type="dxa" w:w="23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~80 hrs (10 days)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40 hrs (5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3 – 7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0.0577 hrs per hr worked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~2.31 hrs/week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~120 hrs (15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56 hrs (7 days)</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7+ years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0.0769 hrs per hr worked</w:t>
            </w:r>
          </w:p>
        </w:tc>
        <w:tc>
          <w:tcPr>
            <w:tcW w:type="dxa" w:w="20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~3.08 hrs/week</w:t>
            </w:r>
          </w:p>
        </w:tc>
        <w:tc>
          <w:tcPr>
            <w:tcW w:type="dxa" w:w="23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~160 hrs (20 days)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80 hrs (10 days)</w:t>
            </w:r>
          </w:p>
        </w:tc>
      </w:tr>
    </w:tbl>
    <w:p>
      <w:pPr>
        <w:spacing w:after="160"/>
      </w:pPr>
    </w:p>
    <w:p>
      <w:pPr>
        <w:pBdr>
          <w:left w:val="single" w:color="1D6A72" w:sz="24"/>
        </w:pBdr>
        <w:shd w:fill="D4ECEE" w:val="clear"/>
        <w:spacing w:after="160" w:before="60"/>
        <w:ind w:left="280" w:right="280"/>
      </w:pPr>
      <w:r>
        <w:rPr>
          <w:rFonts w:ascii="Arial" w:cs="Arial" w:eastAsia="Arial" w:hAnsi="Arial"/>
          <w:b/>
          <w:bCs/>
          <w:color w:val="1D6A72"/>
          <w:sz w:val="21"/>
          <w:szCs w:val="21"/>
        </w:rPr>
        <w:t xml:space="preserve">ALL EMPLOYEES: </w:t>
      </w:r>
      <w:r>
        <w:rPr>
          <w:rFonts w:ascii="Arial" w:cs="Arial" w:eastAsia="Arial" w:hAnsi="Arial"/>
          <w:sz w:val="21"/>
          <w:szCs w:val="21"/>
        </w:rPr>
        <w:t xml:space="preserve">Accrual caps apply to hourly employees as well. Once the balance reaches the cap (equal to 1.5x the annual equivalent), accrual pauses until the balance is reduced through use. This prevents excessive accumulation while encouraging regular use of earned time.</w:t>
      </w:r>
    </w:p>
    <w:p>
      <w:pPr>
        <w:pStyle w:val="Heading2"/>
        <w:spacing w:after="120" w:before="300"/>
      </w:pPr>
      <w:r>
        <w:rPr>
          <w:rFonts w:ascii="Arial" w:cs="Arial" w:eastAsia="Arial" w:hAnsi="Arial"/>
          <w:b/>
          <w:bCs/>
          <w:color w:val="1D6A72"/>
          <w:sz w:val="24"/>
          <w:szCs w:val="24"/>
        </w:rPr>
        <w:t xml:space="preserve">4.3  Part-Time Employee Accrual</w:t>
      </w:r>
    </w:p>
    <w:p>
      <w:pPr>
        <w:spacing w:after="120"/>
      </w:pPr>
      <w:r>
        <w:rPr>
          <w:rFonts w:ascii="Arial" w:cs="Arial" w:eastAsia="Arial" w:hAnsi="Arial"/>
          <w:color w:val="222222"/>
          <w:sz w:val="22"/>
          <w:szCs w:val="22"/>
        </w:rPr>
        <w:t xml:space="preserve">Part-time employees (regularly scheduled for fewer than 40 hours per week) accrue leave on a pro-rated basis. Salaried part-time employees accrue at the same per-period rate but receive a fraction proportional to their FTE (e.g., a 0.6 FTE employee accrues 60% of the full-time rate). Hourly part-time employees accrue based on actual hours worked using the same per-hour rate as full-time hourly employees.</w:t>
      </w:r>
    </w:p>
    <w:p>
      <w:pPr>
        <w:pStyle w:val="Heading2"/>
        <w:spacing w:after="120" w:before="300"/>
      </w:pPr>
      <w:r>
        <w:rPr>
          <w:rFonts w:ascii="Arial" w:cs="Arial" w:eastAsia="Arial" w:hAnsi="Arial"/>
          <w:b/>
          <w:bCs/>
          <w:color w:val="1D6A72"/>
          <w:sz w:val="24"/>
          <w:szCs w:val="24"/>
        </w:rPr>
        <w:t xml:space="preserve">4.4  New Hire Waiting Period</w:t>
      </w:r>
    </w:p>
    <w:p>
      <w:pPr>
        <w:spacing w:after="120"/>
      </w:pPr>
      <w:r>
        <w:rPr>
          <w:rFonts w:ascii="Arial" w:cs="Arial" w:eastAsia="Arial" w:hAnsi="Arial"/>
          <w:color w:val="222222"/>
          <w:sz w:val="22"/>
          <w:szCs w:val="22"/>
        </w:rPr>
        <w:t xml:space="preserve">Accrual begins on Day 1 of employment; however, accrued PTO may not be used until the employee has completed 90 days of continuous employment. Exceptions may be granted at HR's discretion for employees hired with pre-approved start dates that require immediate travel or relocations.</w:t>
      </w:r>
    </w:p>
    <w:p>
      <w:pPr>
        <w:pBdr>
          <w:left w:val="single" w:color="2D7A3A" w:sz="24"/>
        </w:pBdr>
        <w:shd w:fill="F0F9F0" w:val="clear"/>
        <w:spacing w:after="160" w:before="60"/>
        <w:ind w:left="280" w:right="280"/>
      </w:pPr>
      <w:r>
        <w:rPr>
          <w:rFonts w:ascii="Arial" w:cs="Arial" w:eastAsia="Arial" w:hAnsi="Arial"/>
          <w:b/>
          <w:bCs/>
          <w:color w:val="2D7A3A"/>
          <w:sz w:val="21"/>
          <w:szCs w:val="21"/>
        </w:rPr>
        <w:t xml:space="preserve">HOURLY EMPLOYEES: </w:t>
      </w:r>
      <w:r>
        <w:rPr>
          <w:rFonts w:ascii="Arial" w:cs="Arial" w:eastAsia="Arial" w:hAnsi="Arial"/>
          <w:sz w:val="21"/>
          <w:szCs w:val="21"/>
        </w:rPr>
        <w:t xml:space="preserve">Hourly employees in states with immediate-use sick leave requirements (e.g., California, Colorado, Illinois) are exempt from the 90-day waiting period for sick leave specifically. See Section 5 for sick leave rules.</w:t>
      </w:r>
    </w:p>
    <w:p>
      <w:pPr>
        <w:pStyle w:val="Heading2"/>
        <w:spacing w:after="120" w:before="300"/>
      </w:pPr>
      <w:r>
        <w:rPr>
          <w:rFonts w:ascii="Arial" w:cs="Arial" w:eastAsia="Arial" w:hAnsi="Arial"/>
          <w:b/>
          <w:bCs/>
          <w:color w:val="1D6A72"/>
          <w:sz w:val="24"/>
          <w:szCs w:val="24"/>
        </w:rPr>
        <w:t xml:space="preserve">4.5  Accrual During Leave</w:t>
      </w:r>
    </w:p>
    <w:p>
      <w:pPr>
        <w:pStyle w:val="ListParagraph"/>
        <w:numPr>
          <w:ilvl w:val="0"/>
          <w:numId w:val="2"/>
        </w:numPr>
        <w:spacing w:after="80"/>
      </w:pPr>
      <w:r>
        <w:rPr>
          <w:rFonts w:ascii="Arial" w:cs="Arial" w:eastAsia="Arial" w:hAnsi="Arial"/>
          <w:sz w:val="22"/>
          <w:szCs w:val="22"/>
        </w:rPr>
        <w:t xml:space="preserve">Employees continue to accrue PTO while on paid leave (vacation, sick, paid parental, paid FMLA)</w:t>
      </w:r>
    </w:p>
    <w:p>
      <w:pPr>
        <w:pStyle w:val="ListParagraph"/>
        <w:numPr>
          <w:ilvl w:val="0"/>
          <w:numId w:val="2"/>
        </w:numPr>
        <w:spacing w:after="80"/>
      </w:pPr>
      <w:r>
        <w:rPr>
          <w:rFonts w:ascii="Arial" w:cs="Arial" w:eastAsia="Arial" w:hAnsi="Arial"/>
          <w:sz w:val="22"/>
          <w:szCs w:val="22"/>
        </w:rPr>
        <w:t xml:space="preserve">PTO does not accrue during unpaid leave of absence, unpaid FMLA, or unpaid personal leave</w:t>
      </w:r>
    </w:p>
    <w:p>
      <w:pPr>
        <w:pStyle w:val="ListParagraph"/>
        <w:numPr>
          <w:ilvl w:val="0"/>
          <w:numId w:val="2"/>
        </w:numPr>
        <w:spacing w:after="80"/>
      </w:pPr>
      <w:r>
        <w:rPr>
          <w:rFonts w:ascii="Arial" w:cs="Arial" w:eastAsia="Arial" w:hAnsi="Arial"/>
          <w:sz w:val="22"/>
          <w:szCs w:val="22"/>
        </w:rPr>
        <w:t xml:space="preserve">PTO accrual is suspended if an employee is on an unpaid disciplinary suspension</w:t>
      </w:r>
    </w:p>
    <w:p>
      <w:pPr>
        <w:pStyle w:val="Heading2"/>
        <w:spacing w:after="120" w:before="300"/>
      </w:pPr>
      <w:r>
        <w:rPr>
          <w:rFonts w:ascii="Arial" w:cs="Arial" w:eastAsia="Arial" w:hAnsi="Arial"/>
          <w:b/>
          <w:bCs/>
          <w:color w:val="1D6A72"/>
          <w:sz w:val="24"/>
          <w:szCs w:val="24"/>
        </w:rPr>
        <w:t xml:space="preserve">4.6  Year-End Carryover &amp; Forfeiture</w:t>
      </w:r>
    </w:p>
    <w:p>
      <w:pPr>
        <w:spacing w:after="120"/>
      </w:pPr>
      <w:r>
        <w:rPr>
          <w:rFonts w:ascii="Arial" w:cs="Arial" w:eastAsia="Arial" w:hAnsi="Arial"/>
          <w:color w:val="222222"/>
          <w:sz w:val="22"/>
          <w:szCs w:val="22"/>
        </w:rPr>
        <w:t xml:space="preserve">Unused PTO above the carryover limit is forfeited on January 1 of the following year. Employees will receive a reminder notification in November and December via the HR portal. Managers are encouraged to support employees in scheduling leave prior to year-end.</w:t>
      </w:r>
    </w:p>
    <w:p>
      <w:pPr>
        <w:pBdr>
          <w:left w:val="single" w:color="B8860B" w:sz="24"/>
        </w:pBdr>
        <w:shd w:fill="FDF6DC" w:val="clear"/>
        <w:spacing w:after="160" w:before="60"/>
        <w:ind w:left="280" w:right="280"/>
      </w:pPr>
      <w:r>
        <w:rPr>
          <w:rFonts w:ascii="Arial" w:cs="Arial" w:eastAsia="Arial" w:hAnsi="Arial"/>
          <w:b/>
          <w:bCs/>
          <w:color w:val="B8860B"/>
          <w:sz w:val="21"/>
          <w:szCs w:val="21"/>
        </w:rPr>
        <w:t xml:space="preserve">IMPORTANT: </w:t>
      </w:r>
      <w:r>
        <w:rPr>
          <w:rFonts w:ascii="Arial" w:cs="Arial" w:eastAsia="Arial" w:hAnsi="Arial"/>
          <w:sz w:val="21"/>
          <w:szCs w:val="21"/>
        </w:rPr>
        <w:t xml:space="preserve">California, Colorado, Nebraska, and Montana employees: State law prohibits use-it-or-lose-it PTO policies. In these states, accrued and unused PTO is carried over in full (subject to the accrual cap), and no forfeiture occurs at year-end. PTO payout upon separation is required. HR will apply state-specific rules automatically based on work location.</w:t>
      </w:r>
    </w:p>
    <w:p>
      <w:pPr>
        <w:pStyle w:val="Heading2"/>
        <w:spacing w:after="120" w:before="300"/>
      </w:pPr>
      <w:r>
        <w:rPr>
          <w:rFonts w:ascii="Arial" w:cs="Arial" w:eastAsia="Arial" w:hAnsi="Arial"/>
          <w:b/>
          <w:bCs/>
          <w:color w:val="1D6A72"/>
          <w:sz w:val="24"/>
          <w:szCs w:val="24"/>
        </w:rPr>
        <w:t xml:space="preserve">4.7  PTO Payout Upon Separation</w:t>
      </w:r>
    </w:p>
    <w:p>
      <w:pPr>
        <w:spacing w:after="120"/>
      </w:pPr>
      <w:r>
        <w:rPr>
          <w:rFonts w:ascii="Arial" w:cs="Arial" w:eastAsia="Arial" w:hAnsi="Arial"/>
          <w:color w:val="222222"/>
          <w:sz w:val="22"/>
          <w:szCs w:val="22"/>
        </w:rPr>
        <w:t xml:space="preserve">Upon separation from the Company, accrued but unused PTO is paid out as follows:</w:t>
      </w:r>
    </w:p>
    <w:p>
      <w:pPr>
        <w:pStyle w:val="ListParagraph"/>
        <w:numPr>
          <w:ilvl w:val="0"/>
          <w:numId w:val="2"/>
        </w:numPr>
        <w:spacing w:after="80"/>
      </w:pPr>
      <w:r>
        <w:rPr>
          <w:rFonts w:ascii="Arial" w:cs="Arial" w:eastAsia="Arial" w:hAnsi="Arial"/>
          <w:sz w:val="22"/>
          <w:szCs w:val="22"/>
        </w:rPr>
        <w:t xml:space="preserve">Voluntary resignation with required notice: Full accrued balance paid in the final paycheck</w:t>
      </w:r>
    </w:p>
    <w:p>
      <w:pPr>
        <w:pStyle w:val="ListParagraph"/>
        <w:numPr>
          <w:ilvl w:val="0"/>
          <w:numId w:val="2"/>
        </w:numPr>
        <w:spacing w:after="80"/>
      </w:pPr>
      <w:r>
        <w:rPr>
          <w:rFonts w:ascii="Arial" w:cs="Arial" w:eastAsia="Arial" w:hAnsi="Arial"/>
          <w:sz w:val="22"/>
          <w:szCs w:val="22"/>
        </w:rPr>
        <w:t xml:space="preserve">Involuntary termination: Full accrued balance paid in the final paycheck</w:t>
      </w:r>
    </w:p>
    <w:p>
      <w:pPr>
        <w:pStyle w:val="ListParagraph"/>
        <w:numPr>
          <w:ilvl w:val="0"/>
          <w:numId w:val="2"/>
        </w:numPr>
        <w:spacing w:after="80"/>
      </w:pPr>
      <w:r>
        <w:rPr>
          <w:rFonts w:ascii="Arial" w:cs="Arial" w:eastAsia="Arial" w:hAnsi="Arial"/>
          <w:sz w:val="22"/>
          <w:szCs w:val="22"/>
        </w:rPr>
        <w:t xml:space="preserve">Termination for cause: Paid in accordance with applicable state law (some states require full payout regardless of reason)</w:t>
      </w:r>
    </w:p>
    <w:p>
      <w:pPr>
        <w:pBdr>
          <w:left w:val="single" w:color="B8860B" w:sz="24"/>
        </w:pBdr>
        <w:shd w:fill="FDF6DC" w:val="clear"/>
        <w:spacing w:after="160" w:before="60"/>
        <w:ind w:left="280" w:right="280"/>
      </w:pPr>
      <w:r>
        <w:rPr>
          <w:rFonts w:ascii="Arial" w:cs="Arial" w:eastAsia="Arial" w:hAnsi="Arial"/>
          <w:b/>
          <w:bCs/>
          <w:color w:val="B8860B"/>
          <w:sz w:val="21"/>
          <w:szCs w:val="21"/>
        </w:rPr>
        <w:t xml:space="preserve">IMPORTANT: </w:t>
      </w:r>
      <w:r>
        <w:rPr>
          <w:rFonts w:ascii="Arial" w:cs="Arial" w:eastAsia="Arial" w:hAnsi="Arial"/>
          <w:sz w:val="21"/>
          <w:szCs w:val="21"/>
        </w:rPr>
        <w:t xml:space="preserve">Employees in California, Colorado, Illinois, Montana, Nebraska, and North Dakota are entitled to full PTO payout upon any separation regardless of reason. In all other states, the Company pays out accrued balances but employees who resign without providing proper notice may forfeit unused PTO above state minimums, per their signed offer letter terms.</w:t>
      </w:r>
    </w:p>
    <w:p>
      <w:pPr>
        <w:pStyle w:val="Heading1"/>
        <w:pBdr>
          <w:bottom w:val="single" w:color="1D6A72" w:sz="8" w:space="4"/>
        </w:pBdr>
        <w:spacing w:after="180" w:before="440"/>
      </w:pPr>
      <w:r>
        <w:rPr>
          <w:rFonts w:ascii="Arial" w:cs="Arial" w:eastAsia="Arial" w:hAnsi="Arial"/>
          <w:b/>
          <w:bCs/>
          <w:color w:val="1B2A4A"/>
          <w:sz w:val="28"/>
          <w:szCs w:val="28"/>
        </w:rPr>
        <w:t xml:space="preserve">5.  Sick Leave</w:t>
      </w:r>
    </w:p>
    <w:p>
      <w:pPr>
        <w:pStyle w:val="Heading2"/>
        <w:spacing w:after="120" w:before="300"/>
      </w:pPr>
      <w:r>
        <w:rPr>
          <w:rFonts w:ascii="Arial" w:cs="Arial" w:eastAsia="Arial" w:hAnsi="Arial"/>
          <w:b/>
          <w:bCs/>
          <w:color w:val="1D6A72"/>
          <w:sz w:val="24"/>
          <w:szCs w:val="24"/>
        </w:rPr>
        <w:t xml:space="preserve">5.1  Sick Leave Accrual</w:t>
      </w:r>
    </w:p>
    <w:p>
      <w:pPr>
        <w:spacing w:after="120"/>
      </w:pPr>
      <w:r>
        <w:rPr>
          <w:rFonts w:ascii="Arial" w:cs="Arial" w:eastAsia="Arial" w:hAnsi="Arial"/>
          <w:color w:val="222222"/>
          <w:sz w:val="22"/>
          <w:szCs w:val="22"/>
        </w:rPr>
        <w:t xml:space="preserve">The Company provides a separate sick leave bank for all employees. Sick leave is not merged with PTO and may only be used for qualifying purposes (see Section 5.2). Sick leave balances do not pay out upon separation.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560"/>
        <w:gridCol w:w="1560"/>
        <w:gridCol w:w="1240"/>
      </w:tblGrid>
      <w:tr>
        <w:trPr>
          <w:tblHeader/>
        </w:trPr>
        <w:tc>
          <w:tcPr>
            <w:tcW w:type="dxa" w:w="260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Employee Type</w:t>
            </w:r>
          </w:p>
        </w:tc>
        <w:tc>
          <w:tcPr>
            <w:tcW w:type="dxa" w:w="240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Accrual Rate</w:t>
            </w:r>
          </w:p>
        </w:tc>
        <w:tc>
          <w:tcPr>
            <w:tcW w:type="dxa" w:w="156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Annual Cap</w:t>
            </w:r>
          </w:p>
        </w:tc>
        <w:tc>
          <w:tcPr>
            <w:tcW w:type="dxa" w:w="156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Carryover</w:t>
            </w:r>
          </w:p>
        </w:tc>
        <w:tc>
          <w:tcPr>
            <w:tcW w:type="dxa" w:w="124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Waiting Period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Salaried (Exempt &amp; Non-Exempt)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1 hr per 30 hrs worked (or 0.033/hr)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10 days (80 hrs)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Up to 5 days (40 hrs)</w:t>
            </w:r>
          </w:p>
        </w:tc>
        <w:tc>
          <w:tcPr>
            <w:tcW w:type="dxa" w:w="1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3 days accrued before use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Hourly Non-Exempt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1 hr per 30 hrs worked</w:t>
            </w:r>
          </w:p>
        </w:tc>
        <w:tc>
          <w:tcPr>
            <w:tcW w:type="dxa" w:w="15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10 days (80 hrs)</w:t>
            </w:r>
          </w:p>
        </w:tc>
        <w:tc>
          <w:tcPr>
            <w:tcW w:type="dxa" w:w="15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Up to 5 days (40 hrs)</w:t>
            </w:r>
          </w:p>
        </w:tc>
        <w:tc>
          <w:tcPr>
            <w:tcW w:type="dxa" w:w="124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90 days employment (state law may override)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Part-Time (all types)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1 hr per 30 hrs worked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Pro-rated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Up to 2.5 days (20 hrs)</w:t>
            </w:r>
          </w:p>
        </w:tc>
        <w:tc>
          <w:tcPr>
            <w:tcW w:type="dxa" w:w="1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Per applicable state law</w:t>
            </w:r>
          </w:p>
        </w:tc>
      </w:tr>
    </w:tbl>
    <w:p>
      <w:pPr>
        <w:spacing w:after="160"/>
      </w:pPr>
    </w:p>
    <w:p>
      <w:pPr>
        <w:pBdr>
          <w:left w:val="single" w:color="2A8F99" w:sz="24"/>
        </w:pBdr>
        <w:shd w:fill="E8F5F6" w:val="clear"/>
        <w:spacing w:after="160" w:before="60"/>
        <w:ind w:left="280" w:right="280"/>
      </w:pPr>
      <w:r>
        <w:rPr>
          <w:rFonts w:ascii="Arial" w:cs="Arial" w:eastAsia="Arial" w:hAnsi="Arial"/>
          <w:b/>
          <w:bCs/>
          <w:color w:val="2A8F99"/>
          <w:sz w:val="21"/>
          <w:szCs w:val="21"/>
        </w:rPr>
        <w:t xml:space="preserve">NOTE: </w:t>
      </w:r>
      <w:r>
        <w:rPr>
          <w:rFonts w:ascii="Arial" w:cs="Arial" w:eastAsia="Arial" w:hAnsi="Arial"/>
          <w:sz w:val="21"/>
          <w:szCs w:val="21"/>
        </w:rPr>
        <w:t xml:space="preserve">States with higher sick leave mandates (e.g., California — up to 80 hrs/year; Colorado, New York, New Jersey) will receive the higher of the state-required amount or the Company's standard, whichever is greater. HR will apply the applicable minimum automatically.</w:t>
      </w:r>
    </w:p>
    <w:p>
      <w:pPr>
        <w:pStyle w:val="Heading2"/>
        <w:spacing w:after="120" w:before="300"/>
      </w:pPr>
      <w:r>
        <w:rPr>
          <w:rFonts w:ascii="Arial" w:cs="Arial" w:eastAsia="Arial" w:hAnsi="Arial"/>
          <w:b/>
          <w:bCs/>
          <w:color w:val="1D6A72"/>
          <w:sz w:val="24"/>
          <w:szCs w:val="24"/>
        </w:rPr>
        <w:t xml:space="preserve">5.2  Permitted Uses of Sick Leave</w:t>
      </w:r>
    </w:p>
    <w:p>
      <w:pPr>
        <w:spacing w:after="120"/>
      </w:pPr>
      <w:r>
        <w:rPr>
          <w:rFonts w:ascii="Arial" w:cs="Arial" w:eastAsia="Arial" w:hAnsi="Arial"/>
          <w:color w:val="222222"/>
          <w:sz w:val="22"/>
          <w:szCs w:val="22"/>
        </w:rPr>
        <w:t xml:space="preserve">Sick leave may be used for the following purposes:</w:t>
      </w:r>
    </w:p>
    <w:p>
      <w:pPr>
        <w:pStyle w:val="ListParagraph"/>
        <w:numPr>
          <w:ilvl w:val="0"/>
          <w:numId w:val="2"/>
        </w:numPr>
        <w:spacing w:after="80"/>
      </w:pPr>
      <w:r>
        <w:rPr>
          <w:rFonts w:ascii="Arial" w:cs="Arial" w:eastAsia="Arial" w:hAnsi="Arial"/>
          <w:sz w:val="22"/>
          <w:szCs w:val="22"/>
        </w:rPr>
        <w:t xml:space="preserve">Employee's own illness, injury, medical or dental appointment, or preventive care visit</w:t>
      </w:r>
    </w:p>
    <w:p>
      <w:pPr>
        <w:pStyle w:val="ListParagraph"/>
        <w:numPr>
          <w:ilvl w:val="0"/>
          <w:numId w:val="2"/>
        </w:numPr>
        <w:spacing w:after="80"/>
      </w:pPr>
      <w:r>
        <w:rPr>
          <w:rFonts w:ascii="Arial" w:cs="Arial" w:eastAsia="Arial" w:hAnsi="Arial"/>
          <w:sz w:val="22"/>
          <w:szCs w:val="22"/>
        </w:rPr>
        <w:t xml:space="preserve">Care for an immediate family member (spouse/domestic partner, child, parent, sibling, grandparent, or grandchild) who is ill, injured, or has a medical appointment</w:t>
      </w:r>
    </w:p>
    <w:p>
      <w:pPr>
        <w:pStyle w:val="ListParagraph"/>
        <w:numPr>
          <w:ilvl w:val="0"/>
          <w:numId w:val="2"/>
        </w:numPr>
        <w:spacing w:after="80"/>
      </w:pPr>
      <w:r>
        <w:rPr>
          <w:rFonts w:ascii="Arial" w:cs="Arial" w:eastAsia="Arial" w:hAnsi="Arial"/>
          <w:sz w:val="22"/>
          <w:szCs w:val="22"/>
        </w:rPr>
        <w:t xml:space="preserve">Mental health days — employees may use sick leave for mental health reasons without a medical note for absences of 1–2 consecutive days</w:t>
      </w:r>
    </w:p>
    <w:p>
      <w:pPr>
        <w:pStyle w:val="ListParagraph"/>
        <w:numPr>
          <w:ilvl w:val="0"/>
          <w:numId w:val="2"/>
        </w:numPr>
        <w:spacing w:after="80"/>
      </w:pPr>
      <w:r>
        <w:rPr>
          <w:rFonts w:ascii="Arial" w:cs="Arial" w:eastAsia="Arial" w:hAnsi="Arial"/>
          <w:sz w:val="22"/>
          <w:szCs w:val="22"/>
        </w:rPr>
        <w:t xml:space="preserve">Recovery from a surgical procedure or hospitalization</w:t>
      </w:r>
    </w:p>
    <w:p>
      <w:pPr>
        <w:pStyle w:val="ListParagraph"/>
        <w:numPr>
          <w:ilvl w:val="0"/>
          <w:numId w:val="2"/>
        </w:numPr>
        <w:spacing w:after="80"/>
      </w:pPr>
      <w:r>
        <w:rPr>
          <w:rFonts w:ascii="Arial" w:cs="Arial" w:eastAsia="Arial" w:hAnsi="Arial"/>
          <w:sz w:val="22"/>
          <w:szCs w:val="22"/>
        </w:rPr>
        <w:t xml:space="preserve">Illness or quarantine related to a public health emergency</w:t>
      </w:r>
    </w:p>
    <w:p>
      <w:pPr>
        <w:pStyle w:val="ListParagraph"/>
        <w:numPr>
          <w:ilvl w:val="0"/>
          <w:numId w:val="2"/>
        </w:numPr>
        <w:spacing w:after="80"/>
      </w:pPr>
      <w:r>
        <w:rPr>
          <w:rFonts w:ascii="Arial" w:cs="Arial" w:eastAsia="Arial" w:hAnsi="Arial"/>
          <w:sz w:val="22"/>
          <w:szCs w:val="22"/>
        </w:rPr>
        <w:t xml:space="preserve">Seeking medical attention, safety planning, or legal assistance related to domestic violence, sexual assault, or stalking (employee or covered family member)</w:t>
      </w:r>
    </w:p>
    <w:p>
      <w:pPr>
        <w:pBdr>
          <w:left w:val="single" w:color="B00020" w:sz="24"/>
        </w:pBdr>
        <w:shd w:fill="FDEAEA" w:val="clear"/>
        <w:spacing w:after="160" w:before="60"/>
        <w:ind w:left="280" w:right="280"/>
      </w:pPr>
      <w:r>
        <w:rPr>
          <w:rFonts w:ascii="Arial" w:cs="Arial" w:eastAsia="Arial" w:hAnsi="Arial"/>
          <w:b/>
          <w:bCs/>
          <w:color w:val="B00020"/>
          <w:sz w:val="21"/>
          <w:szCs w:val="21"/>
        </w:rPr>
        <w:t xml:space="preserve">REMINDER: </w:t>
      </w:r>
      <w:r>
        <w:rPr>
          <w:rFonts w:ascii="Arial" w:cs="Arial" w:eastAsia="Arial" w:hAnsi="Arial"/>
          <w:sz w:val="21"/>
          <w:szCs w:val="21"/>
        </w:rPr>
        <w:t xml:space="preserve">Sick leave may NOT be used in place of PTO for vacation, personal errands, or non-health-related personal time. Misuse of sick leave is subject to disciplinary action.</w:t>
      </w:r>
    </w:p>
    <w:p>
      <w:pPr>
        <w:pStyle w:val="Heading2"/>
        <w:spacing w:after="120" w:before="300"/>
      </w:pPr>
      <w:r>
        <w:rPr>
          <w:rFonts w:ascii="Arial" w:cs="Arial" w:eastAsia="Arial" w:hAnsi="Arial"/>
          <w:b/>
          <w:bCs/>
          <w:color w:val="1D6A72"/>
          <w:sz w:val="24"/>
          <w:szCs w:val="24"/>
        </w:rPr>
        <w:t xml:space="preserve">5.3  Documentation Requirements</w:t>
      </w:r>
    </w:p>
    <w:p>
      <w:pPr>
        <w:spacing w:after="120"/>
      </w:pPr>
      <w:r>
        <w:rPr>
          <w:rFonts w:ascii="Arial" w:cs="Arial" w:eastAsia="Arial" w:hAnsi="Arial"/>
          <w:color w:val="222222"/>
          <w:sz w:val="22"/>
          <w:szCs w:val="22"/>
        </w:rPr>
        <w:t xml:space="preserve">For absences of 1–2 consecutive work days: No documentation is required. The employee's self-certification is sufficient.</w:t>
      </w:r>
    </w:p>
    <w:p>
      <w:pPr>
        <w:spacing w:after="120"/>
      </w:pPr>
      <w:r>
        <w:rPr>
          <w:rFonts w:ascii="Arial" w:cs="Arial" w:eastAsia="Arial" w:hAnsi="Arial"/>
          <w:color w:val="222222"/>
          <w:sz w:val="22"/>
          <w:szCs w:val="22"/>
        </w:rPr>
        <w:t xml:space="preserve">For absences of 3 or more consecutive work days: HR may request a doctor's note confirming the employee was under the care of a healthcare provider. The note need not include a diagnosis — a statement of dates and a general indication of incapacity is sufficient.</w:t>
      </w:r>
    </w:p>
    <w:p>
      <w:pPr>
        <w:spacing w:after="120"/>
      </w:pPr>
      <w:r>
        <w:rPr>
          <w:rFonts w:ascii="Arial" w:cs="Arial" w:eastAsia="Arial" w:hAnsi="Arial"/>
          <w:color w:val="222222"/>
          <w:sz w:val="22"/>
          <w:szCs w:val="22"/>
        </w:rPr>
        <w:t xml:space="preserve">For intermittent or chronic conditions requiring frequent use: A one-time medical certification (Form SL-001) may be requested. This allows the employee to use sick leave intermittently without providing a note for each occurrence.</w:t>
      </w:r>
    </w:p>
    <w:p>
      <w:pPr>
        <w:pBdr>
          <w:left w:val="single" w:color="2E5FA3" w:sz="24"/>
        </w:pBdr>
        <w:shd w:fill="EDF3FB" w:val="clear"/>
        <w:spacing w:after="160" w:before="60"/>
        <w:ind w:left="280" w:right="280"/>
      </w:pPr>
      <w:r>
        <w:rPr>
          <w:rFonts w:ascii="Arial" w:cs="Arial" w:eastAsia="Arial" w:hAnsi="Arial"/>
          <w:b/>
          <w:bCs/>
          <w:color w:val="2E5FA3"/>
          <w:sz w:val="21"/>
          <w:szCs w:val="21"/>
        </w:rPr>
        <w:t xml:space="preserve">SALARIED EMPLOYEES: </w:t>
      </w:r>
      <w:r>
        <w:rPr>
          <w:rFonts w:ascii="Arial" w:cs="Arial" w:eastAsia="Arial" w:hAnsi="Arial"/>
          <w:sz w:val="21"/>
          <w:szCs w:val="21"/>
        </w:rPr>
        <w:t xml:space="preserve">In California, the Company may not require a doctor's note for sick leave absences of fewer than 3 consecutive days unless the absence pattern suggests abuse.</w:t>
      </w:r>
    </w:p>
    <w:p>
      <w:pPr>
        <w:pStyle w:val="Heading1"/>
        <w:pBdr>
          <w:bottom w:val="single" w:color="1D6A72" w:sz="8" w:space="4"/>
        </w:pBdr>
        <w:spacing w:after="180" w:before="440"/>
      </w:pPr>
      <w:r>
        <w:rPr>
          <w:rFonts w:ascii="Arial" w:cs="Arial" w:eastAsia="Arial" w:hAnsi="Arial"/>
          <w:b/>
          <w:bCs/>
          <w:color w:val="1B2A4A"/>
          <w:sz w:val="28"/>
          <w:szCs w:val="28"/>
        </w:rPr>
        <w:t xml:space="preserve">6.  Company Holidays &amp; Floating Holidays</w:t>
      </w:r>
    </w:p>
    <w:p>
      <w:pPr>
        <w:pStyle w:val="Heading2"/>
        <w:spacing w:after="120" w:before="300"/>
      </w:pPr>
      <w:r>
        <w:rPr>
          <w:rFonts w:ascii="Arial" w:cs="Arial" w:eastAsia="Arial" w:hAnsi="Arial"/>
          <w:b/>
          <w:bCs/>
          <w:color w:val="1D6A72"/>
          <w:sz w:val="24"/>
          <w:szCs w:val="24"/>
        </w:rPr>
        <w:t xml:space="preserve">6.1  Company-Observed Holidays</w:t>
      </w:r>
    </w:p>
    <w:p>
      <w:pPr>
        <w:spacing w:after="120"/>
      </w:pPr>
      <w:r>
        <w:rPr>
          <w:rFonts w:ascii="Arial" w:cs="Arial" w:eastAsia="Arial" w:hAnsi="Arial"/>
          <w:color w:val="222222"/>
          <w:sz w:val="22"/>
          <w:szCs w:val="22"/>
        </w:rPr>
        <w:t xml:space="preserve">The Company observes the following paid holidays each calendar year. The official holiday schedule is published on the HR portal by November 1 of each year.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Holiday</w:t>
            </w:r>
          </w:p>
        </w:tc>
        <w:tc>
          <w:tcPr>
            <w:tcW w:type="dxa" w:w="468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Typical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New Year's 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January 1</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Martin Luther King Jr. Day</w:t>
            </w:r>
          </w:p>
        </w:tc>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Third Monday in January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Presidents' 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Third Monday in February</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Memorial Day</w:t>
            </w:r>
          </w:p>
        </w:tc>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Last Monday in May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Juneteenth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June 19</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Independence Day</w:t>
            </w:r>
          </w:p>
        </w:tc>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July 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Labor 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First Monday in September</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Thanksgiving Day</w:t>
            </w:r>
          </w:p>
        </w:tc>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Fourth Thursday in November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Day After Thanksgiving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Fourth Friday in November</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Christmas Eve</w:t>
            </w:r>
          </w:p>
        </w:tc>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December 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Christmas 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December 25</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New Year's Eve</w:t>
            </w:r>
          </w:p>
        </w:tc>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December 31</w:t>
            </w:r>
          </w:p>
        </w:tc>
      </w:tr>
    </w:tbl>
    <w:p>
      <w:pPr>
        <w:spacing w:after="160"/>
      </w:pPr>
    </w:p>
    <w:p>
      <w:pPr>
        <w:pBdr>
          <w:left w:val="single" w:color="1D6A72" w:sz="24"/>
        </w:pBdr>
        <w:shd w:fill="D4ECEE" w:val="clear"/>
        <w:spacing w:after="160" w:before="60"/>
        <w:ind w:left="280" w:right="280"/>
      </w:pPr>
      <w:r>
        <w:rPr>
          <w:rFonts w:ascii="Arial" w:cs="Arial" w:eastAsia="Arial" w:hAnsi="Arial"/>
          <w:b/>
          <w:bCs/>
          <w:color w:val="1D6A72"/>
          <w:sz w:val="21"/>
          <w:szCs w:val="21"/>
        </w:rPr>
        <w:t xml:space="preserve">ALL EMPLOYEES: </w:t>
      </w:r>
      <w:r>
        <w:rPr>
          <w:rFonts w:ascii="Arial" w:cs="Arial" w:eastAsia="Arial" w:hAnsi="Arial"/>
          <w:sz w:val="21"/>
          <w:szCs w:val="21"/>
        </w:rPr>
        <w:t xml:space="preserve">When a holiday falls on a Saturday, the preceding Friday is observed. When it falls on a Sunday, the following Monday is observed. The HR portal will confirm actual observed dates each year.</w:t>
      </w:r>
    </w:p>
    <w:p>
      <w:pPr>
        <w:pStyle w:val="Heading2"/>
        <w:spacing w:after="120" w:before="300"/>
      </w:pPr>
      <w:r>
        <w:rPr>
          <w:rFonts w:ascii="Arial" w:cs="Arial" w:eastAsia="Arial" w:hAnsi="Arial"/>
          <w:b/>
          <w:bCs/>
          <w:color w:val="1D6A72"/>
          <w:sz w:val="24"/>
          <w:szCs w:val="24"/>
        </w:rPr>
        <w:t xml:space="preserve">6.2  Holiday Pay for Hourly Employees</w:t>
      </w:r>
    </w:p>
    <w:p>
      <w:pPr>
        <w:pBdr>
          <w:left w:val="single" w:color="2D7A3A" w:sz="24"/>
        </w:pBdr>
        <w:shd w:fill="F0F9F0" w:val="clear"/>
        <w:spacing w:after="160" w:before="60"/>
        <w:ind w:left="280" w:right="280"/>
      </w:pPr>
      <w:r>
        <w:rPr>
          <w:rFonts w:ascii="Arial" w:cs="Arial" w:eastAsia="Arial" w:hAnsi="Arial"/>
          <w:b/>
          <w:bCs/>
          <w:color w:val="2D7A3A"/>
          <w:sz w:val="21"/>
          <w:szCs w:val="21"/>
        </w:rPr>
        <w:t xml:space="preserve">HOURLY EMPLOYEES: </w:t>
      </w:r>
      <w:r>
        <w:rPr>
          <w:rFonts w:ascii="Arial" w:cs="Arial" w:eastAsia="Arial" w:hAnsi="Arial"/>
          <w:sz w:val="21"/>
          <w:szCs w:val="21"/>
        </w:rPr>
        <w:t xml:space="preserve">Hourly employees receive 8 hours of straight-time holiday pay for each Company-observed holiday, provided they are in active pay status on the scheduled work day immediately before and after the holiday. Hourly employees required to work on a Company holiday receive their regular hourly rate plus the 8-hour holiday pay (effectively double time), unless a different arrangement is specified in their offer letter.</w:t>
      </w:r>
    </w:p>
    <w:p>
      <w:pPr>
        <w:pStyle w:val="Heading2"/>
        <w:spacing w:after="120" w:before="300"/>
      </w:pPr>
      <w:r>
        <w:rPr>
          <w:rFonts w:ascii="Arial" w:cs="Arial" w:eastAsia="Arial" w:hAnsi="Arial"/>
          <w:b/>
          <w:bCs/>
          <w:color w:val="1D6A72"/>
          <w:sz w:val="24"/>
          <w:szCs w:val="24"/>
        </w:rPr>
        <w:t xml:space="preserve">6.3  Floating Holidays</w:t>
      </w:r>
    </w:p>
    <w:p>
      <w:pPr>
        <w:spacing w:after="120"/>
      </w:pPr>
      <w:r>
        <w:rPr>
          <w:rFonts w:ascii="Arial" w:cs="Arial" w:eastAsia="Arial" w:hAnsi="Arial"/>
          <w:color w:val="222222"/>
          <w:sz w:val="22"/>
          <w:szCs w:val="22"/>
        </w:rPr>
        <w:t xml:space="preserve">Each employee receives two (2) floating holidays per calendar year. These are granted on January 1 and must be used within the calendar year; they do not carry over or pay out upon separation.</w:t>
      </w:r>
    </w:p>
    <w:p>
      <w:pPr>
        <w:pStyle w:val="ListParagraph"/>
        <w:numPr>
          <w:ilvl w:val="0"/>
          <w:numId w:val="2"/>
        </w:numPr>
        <w:spacing w:after="80"/>
      </w:pPr>
      <w:r>
        <w:rPr>
          <w:rFonts w:ascii="Arial" w:cs="Arial" w:eastAsia="Arial" w:hAnsi="Arial"/>
          <w:sz w:val="22"/>
          <w:szCs w:val="22"/>
        </w:rPr>
        <w:t xml:space="preserve">Floating holidays must be requested and approved in advance like PTO (see Section 7)</w:t>
      </w:r>
    </w:p>
    <w:p>
      <w:pPr>
        <w:pStyle w:val="ListParagraph"/>
        <w:numPr>
          <w:ilvl w:val="0"/>
          <w:numId w:val="2"/>
        </w:numPr>
        <w:spacing w:after="80"/>
      </w:pPr>
      <w:r>
        <w:rPr>
          <w:rFonts w:ascii="Arial" w:cs="Arial" w:eastAsia="Arial" w:hAnsi="Arial"/>
          <w:sz w:val="22"/>
          <w:szCs w:val="22"/>
        </w:rPr>
        <w:t xml:space="preserve">New hires joining after July 1 receive one (1) floating holiday for the remainder of the year</w:t>
      </w:r>
    </w:p>
    <w:p>
      <w:pPr>
        <w:pStyle w:val="ListParagraph"/>
        <w:numPr>
          <w:ilvl w:val="0"/>
          <w:numId w:val="2"/>
        </w:numPr>
        <w:spacing w:after="80"/>
      </w:pPr>
      <w:r>
        <w:rPr>
          <w:rFonts w:ascii="Arial" w:cs="Arial" w:eastAsia="Arial" w:hAnsi="Arial"/>
          <w:sz w:val="22"/>
          <w:szCs w:val="22"/>
        </w:rPr>
        <w:t xml:space="preserve">Floating holidays may not be split into partial days</w:t>
      </w:r>
    </w:p>
    <w:p>
      <w:pPr>
        <w:pStyle w:val="Heading1"/>
        <w:pBdr>
          <w:bottom w:val="single" w:color="1D6A72" w:sz="8" w:space="4"/>
        </w:pBdr>
        <w:spacing w:after="180" w:before="440"/>
      </w:pPr>
      <w:r>
        <w:rPr>
          <w:rFonts w:ascii="Arial" w:cs="Arial" w:eastAsia="Arial" w:hAnsi="Arial"/>
          <w:b/>
          <w:bCs/>
          <w:color w:val="1B2A4A"/>
          <w:sz w:val="28"/>
          <w:szCs w:val="28"/>
        </w:rPr>
        <w:t xml:space="preserve">7.  Bereavement &amp; Jury Duty Leave</w:t>
      </w:r>
    </w:p>
    <w:p>
      <w:pPr>
        <w:pStyle w:val="Heading2"/>
        <w:spacing w:after="120" w:before="300"/>
      </w:pPr>
      <w:r>
        <w:rPr>
          <w:rFonts w:ascii="Arial" w:cs="Arial" w:eastAsia="Arial" w:hAnsi="Arial"/>
          <w:b/>
          <w:bCs/>
          <w:color w:val="1D6A72"/>
          <w:sz w:val="24"/>
          <w:szCs w:val="24"/>
        </w:rPr>
        <w:t xml:space="preserve">7.1  Bereavement Leave</w:t>
      </w:r>
    </w:p>
    <w:p>
      <w:pPr>
        <w:spacing w:after="120"/>
      </w:pPr>
      <w:r>
        <w:rPr>
          <w:rFonts w:ascii="Arial" w:cs="Arial" w:eastAsia="Arial" w:hAnsi="Arial"/>
          <w:color w:val="222222"/>
          <w:sz w:val="22"/>
          <w:szCs w:val="22"/>
        </w:rPr>
        <w:t xml:space="preserve">Employees may take paid bereavement leave following the death of an immediate or extended family member. Leave begins on the day of notification or the day after the death and must be taken within 30 days of the death, unless extenuating circumstances require otherwise.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Relationship</w:t>
            </w:r>
          </w:p>
        </w:tc>
        <w:tc>
          <w:tcPr>
            <w:tcW w:type="dxa" w:w="468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Paid Leave Entitlement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Spouse or domestic partner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5 business days</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Child (biological, adopted, step, or foster)</w:t>
            </w:r>
          </w:p>
        </w:tc>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5 business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Parent (biological, adoptive, step, or in-law)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3 business days</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Sibling (biological, step, or in-law)</w:t>
            </w:r>
          </w:p>
        </w:tc>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3 business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Grandparent or grandchild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3 business days</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Aunt, uncle, niece, nephew, or close personal friend</w:t>
            </w:r>
          </w:p>
        </w:tc>
        <w:tc>
          <w:tcPr>
            <w:tcW w:type="dxa" w:w="46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1 business day (additional unpaid leave available on request)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Pregnancy loss (employee or employee's partner)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Up to 5 business days</w:t>
            </w:r>
          </w:p>
        </w:tc>
      </w:tr>
    </w:tbl>
    <w:p>
      <w:pPr>
        <w:spacing w:after="160"/>
      </w:pPr>
    </w:p>
    <w:p>
      <w:pPr>
        <w:spacing w:after="120"/>
      </w:pPr>
      <w:r>
        <w:rPr>
          <w:rFonts w:ascii="Arial" w:cs="Arial" w:eastAsia="Arial" w:hAnsi="Arial"/>
          <w:color w:val="222222"/>
          <w:sz w:val="22"/>
          <w:szCs w:val="22"/>
        </w:rPr>
        <w:t xml:space="preserve">HR may request documentation (e.g., obituary or funeral program) at its discretion. Employees needing more time may use accrued PTO or request unpaid personal leave. Bereavement leave may be taken non-consecutively within the 30-day window.</w:t>
      </w:r>
    </w:p>
    <w:p>
      <w:pPr>
        <w:pStyle w:val="Heading2"/>
        <w:spacing w:after="120" w:before="300"/>
      </w:pPr>
      <w:r>
        <w:rPr>
          <w:rFonts w:ascii="Arial" w:cs="Arial" w:eastAsia="Arial" w:hAnsi="Arial"/>
          <w:b/>
          <w:bCs/>
          <w:color w:val="1D6A72"/>
          <w:sz w:val="24"/>
          <w:szCs w:val="24"/>
        </w:rPr>
        <w:t xml:space="preserve">7.2  Jury Duty &amp; Civic Leave</w:t>
      </w:r>
    </w:p>
    <w:p>
      <w:pPr>
        <w:spacing w:after="120"/>
      </w:pPr>
      <w:r>
        <w:rPr>
          <w:rFonts w:ascii="Arial" w:cs="Arial" w:eastAsia="Arial" w:hAnsi="Arial"/>
          <w:color w:val="222222"/>
          <w:sz w:val="22"/>
          <w:szCs w:val="22"/>
        </w:rPr>
        <w:t xml:space="preserve">Employees called for jury duty or subpoenaed as a witness in a legal proceeding are entitled to civic leave. The Company will pay the difference between the employee's regular base pay and any jury pay received by the government for up to 10 business days. For jury service exceeding 10 days, the employee may use accrued PTO or request unpaid leave.</w:t>
      </w:r>
    </w:p>
    <w:p>
      <w:pPr>
        <w:pStyle w:val="ListParagraph"/>
        <w:numPr>
          <w:ilvl w:val="0"/>
          <w:numId w:val="2"/>
        </w:numPr>
        <w:spacing w:after="80"/>
      </w:pPr>
      <w:r>
        <w:rPr>
          <w:rFonts w:ascii="Arial" w:cs="Arial" w:eastAsia="Arial" w:hAnsi="Arial"/>
          <w:sz w:val="22"/>
          <w:szCs w:val="22"/>
        </w:rPr>
        <w:t xml:space="preserve">Employees must provide a copy of the jury summons to HR and their manager as soon as it is received</w:t>
      </w:r>
    </w:p>
    <w:p>
      <w:pPr>
        <w:pStyle w:val="ListParagraph"/>
        <w:numPr>
          <w:ilvl w:val="0"/>
          <w:numId w:val="2"/>
        </w:numPr>
        <w:spacing w:after="80"/>
      </w:pPr>
      <w:r>
        <w:rPr>
          <w:rFonts w:ascii="Arial" w:cs="Arial" w:eastAsia="Arial" w:hAnsi="Arial"/>
          <w:sz w:val="22"/>
          <w:szCs w:val="22"/>
        </w:rPr>
        <w:t xml:space="preserve">If dismissed from jury duty with 3 or more hours remaining in the standard workday, the employee is expected to return to work for the remainder of the day</w:t>
      </w:r>
    </w:p>
    <w:p>
      <w:pPr>
        <w:pStyle w:val="ListParagraph"/>
        <w:numPr>
          <w:ilvl w:val="0"/>
          <w:numId w:val="2"/>
        </w:numPr>
        <w:spacing w:after="80"/>
      </w:pPr>
      <w:r>
        <w:rPr>
          <w:rFonts w:ascii="Arial" w:cs="Arial" w:eastAsia="Arial" w:hAnsi="Arial"/>
          <w:sz w:val="22"/>
          <w:szCs w:val="22"/>
        </w:rPr>
        <w:t xml:space="preserve">Hourly employees receive their regular straight-time hourly rate (up to 8 hours per day) during jury duty, offset by any government compensation received</w:t>
      </w:r>
    </w:p>
    <w:p>
      <w:pPr>
        <w:pStyle w:val="Heading1"/>
        <w:pBdr>
          <w:bottom w:val="single" w:color="1D6A72" w:sz="8" w:space="4"/>
        </w:pBdr>
        <w:spacing w:after="180" w:before="440"/>
      </w:pPr>
      <w:r>
        <w:rPr>
          <w:rFonts w:ascii="Arial" w:cs="Arial" w:eastAsia="Arial" w:hAnsi="Arial"/>
          <w:b/>
          <w:bCs/>
          <w:color w:val="1B2A4A"/>
          <w:sz w:val="28"/>
          <w:szCs w:val="28"/>
        </w:rPr>
        <w:t xml:space="preserve">8.  Leave Submission &amp; Approval Process</w:t>
      </w:r>
    </w:p>
    <w:p>
      <w:pPr>
        <w:pStyle w:val="Heading2"/>
        <w:spacing w:after="120" w:before="300"/>
      </w:pPr>
      <w:r>
        <w:rPr>
          <w:rFonts w:ascii="Arial" w:cs="Arial" w:eastAsia="Arial" w:hAnsi="Arial"/>
          <w:b/>
          <w:bCs/>
          <w:color w:val="1D6A72"/>
          <w:sz w:val="24"/>
          <w:szCs w:val="24"/>
        </w:rPr>
        <w:t xml:space="preserve">8.1  How to Submit a Leave Request</w:t>
      </w:r>
    </w:p>
    <w:p>
      <w:pPr>
        <w:spacing w:after="120"/>
      </w:pPr>
      <w:r>
        <w:rPr>
          <w:rFonts w:ascii="Arial" w:cs="Arial" w:eastAsia="Arial" w:hAnsi="Arial"/>
          <w:color w:val="222222"/>
          <w:sz w:val="22"/>
          <w:szCs w:val="22"/>
        </w:rPr>
        <w:t xml:space="preserve">All leave requests must be submitted through the Company's HR management system (HRMS), accessible at hr.company.com. Verbal requests to a manager do not constitute a formal leave request and do not guarantee approval. The submission process is:</w:t>
      </w:r>
    </w:p>
    <w:p>
      <w:pPr>
        <w:pStyle w:val="ListParagraph"/>
        <w:numPr>
          <w:ilvl w:val="0"/>
          <w:numId w:val="3"/>
        </w:numPr>
        <w:spacing w:after="80"/>
      </w:pPr>
      <w:r>
        <w:rPr>
          <w:rFonts w:ascii="Arial" w:cs="Arial" w:eastAsia="Arial" w:hAnsi="Arial"/>
          <w:sz w:val="22"/>
          <w:szCs w:val="22"/>
        </w:rPr>
        <w:t xml:space="preserve">Log into the HRMS portal and navigate to 'Time &amp; Absence &gt; Request Leave'</w:t>
      </w:r>
    </w:p>
    <w:p>
      <w:pPr>
        <w:pStyle w:val="ListParagraph"/>
        <w:numPr>
          <w:ilvl w:val="0"/>
          <w:numId w:val="3"/>
        </w:numPr>
        <w:spacing w:after="80"/>
      </w:pPr>
      <w:r>
        <w:rPr>
          <w:rFonts w:ascii="Arial" w:cs="Arial" w:eastAsia="Arial" w:hAnsi="Arial"/>
          <w:sz w:val="22"/>
          <w:szCs w:val="22"/>
        </w:rPr>
        <w:t xml:space="preserve">Select the leave type, date(s), and duration (full day or partial day, in hours)</w:t>
      </w:r>
    </w:p>
    <w:p>
      <w:pPr>
        <w:pStyle w:val="ListParagraph"/>
        <w:numPr>
          <w:ilvl w:val="0"/>
          <w:numId w:val="3"/>
        </w:numPr>
        <w:spacing w:after="80"/>
      </w:pPr>
      <w:r>
        <w:rPr>
          <w:rFonts w:ascii="Arial" w:cs="Arial" w:eastAsia="Arial" w:hAnsi="Arial"/>
          <w:sz w:val="22"/>
          <w:szCs w:val="22"/>
        </w:rPr>
        <w:t xml:space="preserve">Add a brief reason in the notes field (optional for PTO; required for sick leave if absence is 3+ days)</w:t>
      </w:r>
    </w:p>
    <w:p>
      <w:pPr>
        <w:pStyle w:val="ListParagraph"/>
        <w:numPr>
          <w:ilvl w:val="0"/>
          <w:numId w:val="3"/>
        </w:numPr>
        <w:spacing w:after="80"/>
      </w:pPr>
      <w:r>
        <w:rPr>
          <w:rFonts w:ascii="Arial" w:cs="Arial" w:eastAsia="Arial" w:hAnsi="Arial"/>
          <w:sz w:val="22"/>
          <w:szCs w:val="22"/>
        </w:rPr>
        <w:t xml:space="preserve">Submit the request — your manager will receive an automated notification for approval</w:t>
      </w:r>
    </w:p>
    <w:p>
      <w:pPr>
        <w:pStyle w:val="ListParagraph"/>
        <w:numPr>
          <w:ilvl w:val="0"/>
          <w:numId w:val="3"/>
        </w:numPr>
        <w:spacing w:after="80"/>
      </w:pPr>
      <w:r>
        <w:rPr>
          <w:rFonts w:ascii="Arial" w:cs="Arial" w:eastAsia="Arial" w:hAnsi="Arial"/>
          <w:sz w:val="22"/>
          <w:szCs w:val="22"/>
        </w:rPr>
        <w:t xml:space="preserve">You will receive an email confirmation once the request is approved, modified, or denied</w:t>
      </w:r>
    </w:p>
    <w:p>
      <w:pPr>
        <w:pBdr>
          <w:left w:val="single" w:color="2D7A3A" w:sz="24"/>
        </w:pBdr>
        <w:shd w:fill="F0F9F0" w:val="clear"/>
        <w:spacing w:after="160" w:before="60"/>
        <w:ind w:left="280" w:right="280"/>
      </w:pPr>
      <w:r>
        <w:rPr>
          <w:rFonts w:ascii="Arial" w:cs="Arial" w:eastAsia="Arial" w:hAnsi="Arial"/>
          <w:b/>
          <w:bCs/>
          <w:color w:val="2D7A3A"/>
          <w:sz w:val="21"/>
          <w:szCs w:val="21"/>
        </w:rPr>
        <w:t xml:space="preserve">HOURLY EMPLOYEES: </w:t>
      </w:r>
      <w:r>
        <w:rPr>
          <w:rFonts w:ascii="Arial" w:cs="Arial" w:eastAsia="Arial" w:hAnsi="Arial"/>
          <w:sz w:val="21"/>
          <w:szCs w:val="21"/>
        </w:rPr>
        <w:t xml:space="preserve">Hourly employees must also ensure their leave time is correctly reflected in timekeeping. A submitted leave request in the HRMS does not automatically update the time and attendance system — both entries are required.</w:t>
      </w:r>
    </w:p>
    <w:p>
      <w:pPr>
        <w:pStyle w:val="Heading2"/>
        <w:spacing w:after="120" w:before="300"/>
      </w:pPr>
      <w:r>
        <w:rPr>
          <w:rFonts w:ascii="Arial" w:cs="Arial" w:eastAsia="Arial" w:hAnsi="Arial"/>
          <w:b/>
          <w:bCs/>
          <w:color w:val="1D6A72"/>
          <w:sz w:val="24"/>
          <w:szCs w:val="24"/>
        </w:rPr>
        <w:t xml:space="preserve">8.2  Advance Notice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Leave Type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Required Advance Notice</w:t>
            </w:r>
          </w:p>
        </w:tc>
        <w:tc>
          <w:tcPr>
            <w:tcW w:type="dxa" w:w="436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Vacation / PTO (1–3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Minimum 5 business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Subject to manager approval and team coverage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Vacation / PTO (4+ days)</w:t>
            </w:r>
          </w:p>
        </w:tc>
        <w:tc>
          <w:tcPr>
            <w:tcW w:type="dxa" w:w="2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Minimum 10 business days</w:t>
            </w:r>
          </w:p>
        </w:tc>
        <w:tc>
          <w:tcPr>
            <w:tcW w:type="dxa" w:w="43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Longer trips: 15–21 days recommended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Floating Holiday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Minimum 3 business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First-come, first-served within team</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Sick Leave (foreseeable)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As much notice as possible</w:t>
            </w:r>
          </w:p>
        </w:tc>
        <w:tc>
          <w:tcPr>
            <w:tcW w:type="dxa" w:w="43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E.g., scheduled surgery, medical procedure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Sick Leave (unforeseeable)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Before scheduled start 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See Section 8.3 for call-out procedures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Bereavement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Same day of absence</w:t>
            </w:r>
          </w:p>
        </w:tc>
        <w:tc>
          <w:tcPr>
            <w:tcW w:type="dxa" w:w="43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Formal documentation may follow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Jury Duty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Upon receipt of summons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Submit summons copy to HR immediately</w:t>
            </w:r>
          </w:p>
        </w:tc>
      </w:tr>
    </w:tbl>
    <w:p>
      <w:pPr>
        <w:spacing w:after="160"/>
      </w:pPr>
    </w:p>
    <w:p>
      <w:pPr>
        <w:pStyle w:val="Heading2"/>
        <w:spacing w:after="120" w:before="300"/>
      </w:pPr>
      <w:r>
        <w:rPr>
          <w:rFonts w:ascii="Arial" w:cs="Arial" w:eastAsia="Arial" w:hAnsi="Arial"/>
          <w:b/>
          <w:bCs/>
          <w:color w:val="1D6A72"/>
          <w:sz w:val="24"/>
          <w:szCs w:val="24"/>
        </w:rPr>
        <w:t xml:space="preserve">8.3  Unplanned / Same-Day Absence Notification</w:t>
      </w:r>
    </w:p>
    <w:p>
      <w:pPr>
        <w:spacing w:after="120"/>
      </w:pPr>
      <w:r>
        <w:rPr>
          <w:rFonts w:ascii="Arial" w:cs="Arial" w:eastAsia="Arial" w:hAnsi="Arial"/>
          <w:color w:val="222222"/>
          <w:sz w:val="22"/>
          <w:szCs w:val="22"/>
        </w:rPr>
        <w:t xml:space="preserve">When an employee cannot report to work as scheduled due to illness, emergency, or other unforeseeable circumstance, they must notify their direct manager or designated point of contact before their scheduled start time. Notification must be made by:</w:t>
      </w:r>
    </w:p>
    <w:p>
      <w:pPr>
        <w:pStyle w:val="ListParagraph"/>
        <w:numPr>
          <w:ilvl w:val="0"/>
          <w:numId w:val="2"/>
        </w:numPr>
        <w:spacing w:after="80"/>
      </w:pPr>
      <w:r>
        <w:rPr>
          <w:rFonts w:ascii="Arial" w:cs="Arial" w:eastAsia="Arial" w:hAnsi="Arial"/>
          <w:sz w:val="22"/>
          <w:szCs w:val="22"/>
        </w:rPr>
        <w:t xml:space="preserve">A direct phone call or text to the employee's direct manager, AND</w:t>
      </w:r>
    </w:p>
    <w:p>
      <w:pPr>
        <w:pStyle w:val="ListParagraph"/>
        <w:numPr>
          <w:ilvl w:val="0"/>
          <w:numId w:val="2"/>
        </w:numPr>
        <w:spacing w:after="80"/>
      </w:pPr>
      <w:r>
        <w:rPr>
          <w:rFonts w:ascii="Arial" w:cs="Arial" w:eastAsia="Arial" w:hAnsi="Arial"/>
          <w:sz w:val="22"/>
          <w:szCs w:val="22"/>
        </w:rPr>
        <w:t xml:space="preserve">Submission of the leave request in the HRMS as soon as practicable (same day if possible)</w:t>
      </w:r>
    </w:p>
    <w:p>
      <w:pPr>
        <w:pBdr>
          <w:left w:val="single" w:color="1D6A72" w:sz="24"/>
        </w:pBdr>
        <w:shd w:fill="D4ECEE" w:val="clear"/>
        <w:spacing w:after="160" w:before="60"/>
        <w:ind w:left="280" w:right="280"/>
      </w:pPr>
      <w:r>
        <w:rPr>
          <w:rFonts w:ascii="Arial" w:cs="Arial" w:eastAsia="Arial" w:hAnsi="Arial"/>
          <w:b/>
          <w:bCs/>
          <w:color w:val="1D6A72"/>
          <w:sz w:val="21"/>
          <w:szCs w:val="21"/>
        </w:rPr>
        <w:t xml:space="preserve">ALL EMPLOYEES: </w:t>
      </w:r>
      <w:r>
        <w:rPr>
          <w:rFonts w:ascii="Arial" w:cs="Arial" w:eastAsia="Arial" w:hAnsi="Arial"/>
          <w:sz w:val="21"/>
          <w:szCs w:val="21"/>
        </w:rPr>
        <w:t xml:space="preserve">Sending a message only to a co-worker, posting in a team channel, or emailing without phone/text notification does not constitute proper notification of an absence. Employees are responsible for ensuring their manager is directly informed.</w:t>
      </w:r>
    </w:p>
    <w:p>
      <w:pPr>
        <w:pBdr>
          <w:left w:val="single" w:color="2D7A3A" w:sz="24"/>
        </w:pBdr>
        <w:shd w:fill="F0F9F0" w:val="clear"/>
        <w:spacing w:after="160" w:before="60"/>
        <w:ind w:left="280" w:right="280"/>
      </w:pPr>
      <w:r>
        <w:rPr>
          <w:rFonts w:ascii="Arial" w:cs="Arial" w:eastAsia="Arial" w:hAnsi="Arial"/>
          <w:b/>
          <w:bCs/>
          <w:color w:val="2D7A3A"/>
          <w:sz w:val="21"/>
          <w:szCs w:val="21"/>
        </w:rPr>
        <w:t xml:space="preserve">HOURLY EMPLOYEES: </w:t>
      </w:r>
      <w:r>
        <w:rPr>
          <w:rFonts w:ascii="Arial" w:cs="Arial" w:eastAsia="Arial" w:hAnsi="Arial"/>
          <w:sz w:val="21"/>
          <w:szCs w:val="21"/>
        </w:rPr>
        <w:t xml:space="preserve">Hourly employees must also follow any shift-specific call-out procedures established by their department or shift supervisor, in addition to the above. Some departments require 2-hour advance notice for shift coverage purposes.</w:t>
      </w:r>
    </w:p>
    <w:p>
      <w:pPr>
        <w:pStyle w:val="Heading2"/>
        <w:spacing w:after="120" w:before="300"/>
      </w:pPr>
      <w:r>
        <w:rPr>
          <w:rFonts w:ascii="Arial" w:cs="Arial" w:eastAsia="Arial" w:hAnsi="Arial"/>
          <w:b/>
          <w:bCs/>
          <w:color w:val="1D6A72"/>
          <w:sz w:val="24"/>
          <w:szCs w:val="24"/>
        </w:rPr>
        <w:t xml:space="preserve">8.4  Manager Approval Guidelines</w:t>
      </w:r>
    </w:p>
    <w:p>
      <w:pPr>
        <w:spacing w:after="120"/>
      </w:pPr>
      <w:r>
        <w:rPr>
          <w:rFonts w:ascii="Arial" w:cs="Arial" w:eastAsia="Arial" w:hAnsi="Arial"/>
          <w:color w:val="222222"/>
          <w:sz w:val="22"/>
          <w:szCs w:val="22"/>
        </w:rPr>
        <w:t xml:space="preserve">Managers are responsible for reviewing and acting on leave requests within 2 business days of submission. Factors to consider when evaluating leave requests include:</w:t>
      </w:r>
    </w:p>
    <w:p>
      <w:pPr>
        <w:pStyle w:val="ListParagraph"/>
        <w:numPr>
          <w:ilvl w:val="0"/>
          <w:numId w:val="2"/>
        </w:numPr>
        <w:spacing w:after="80"/>
      </w:pPr>
      <w:r>
        <w:rPr>
          <w:rFonts w:ascii="Arial" w:cs="Arial" w:eastAsia="Arial" w:hAnsi="Arial"/>
          <w:sz w:val="22"/>
          <w:szCs w:val="22"/>
        </w:rPr>
        <w:t xml:space="preserve">Operational coverage and team capacity during the requested period</w:t>
      </w:r>
    </w:p>
    <w:p>
      <w:pPr>
        <w:pStyle w:val="ListParagraph"/>
        <w:numPr>
          <w:ilvl w:val="0"/>
          <w:numId w:val="2"/>
        </w:numPr>
        <w:spacing w:after="80"/>
      </w:pPr>
      <w:r>
        <w:rPr>
          <w:rFonts w:ascii="Arial" w:cs="Arial" w:eastAsia="Arial" w:hAnsi="Arial"/>
          <w:sz w:val="22"/>
          <w:szCs w:val="22"/>
        </w:rPr>
        <w:t xml:space="preserve">Whether the team has critical deadlines, product launches, or planned events during the period</w:t>
      </w:r>
    </w:p>
    <w:p>
      <w:pPr>
        <w:pStyle w:val="ListParagraph"/>
        <w:numPr>
          <w:ilvl w:val="0"/>
          <w:numId w:val="2"/>
        </w:numPr>
        <w:spacing w:after="80"/>
      </w:pPr>
      <w:r>
        <w:rPr>
          <w:rFonts w:ascii="Arial" w:cs="Arial" w:eastAsia="Arial" w:hAnsi="Arial"/>
          <w:sz w:val="22"/>
          <w:szCs w:val="22"/>
        </w:rPr>
        <w:t xml:space="preserve">Whether other team members have already approved leave for the same dates</w:t>
      </w:r>
    </w:p>
    <w:p>
      <w:pPr>
        <w:pStyle w:val="ListParagraph"/>
        <w:numPr>
          <w:ilvl w:val="0"/>
          <w:numId w:val="2"/>
        </w:numPr>
        <w:spacing w:after="80"/>
      </w:pPr>
      <w:r>
        <w:rPr>
          <w:rFonts w:ascii="Arial" w:cs="Arial" w:eastAsia="Arial" w:hAnsi="Arial"/>
          <w:sz w:val="22"/>
          <w:szCs w:val="22"/>
        </w:rPr>
        <w:t xml:space="preserve">The employee's current workload and the ability to delegate or defer responsibilities</w:t>
      </w:r>
    </w:p>
    <w:p>
      <w:pPr>
        <w:spacing w:after="120"/>
      </w:pPr>
      <w:r>
        <w:rPr>
          <w:rFonts w:ascii="Arial" w:cs="Arial" w:eastAsia="Arial" w:hAnsi="Arial"/>
          <w:color w:val="222222"/>
          <w:sz w:val="22"/>
          <w:szCs w:val="22"/>
        </w:rPr>
        <w:t xml:space="preserve">Managers should not deny leave requests arbitrarily, based on personal preference, or in a manner that disproportionately affects a protected class. If a requested date cannot be approved, the manager must suggest alternative dates and engage in good faith discussion with the employee.</w:t>
      </w:r>
    </w:p>
    <w:p>
      <w:pPr>
        <w:pBdr>
          <w:left w:val="single" w:color="1D6A72" w:sz="24"/>
        </w:pBdr>
        <w:shd w:fill="D4ECEE" w:val="clear"/>
        <w:spacing w:after="160" w:before="60"/>
        <w:ind w:left="280" w:right="280"/>
      </w:pPr>
      <w:r>
        <w:rPr>
          <w:rFonts w:ascii="Arial" w:cs="Arial" w:eastAsia="Arial" w:hAnsi="Arial"/>
          <w:b/>
          <w:bCs/>
          <w:color w:val="1D6A72"/>
          <w:sz w:val="21"/>
          <w:szCs w:val="21"/>
        </w:rPr>
        <w:t xml:space="preserve">ALL EMPLOYEES: </w:t>
      </w:r>
      <w:r>
        <w:rPr>
          <w:rFonts w:ascii="Arial" w:cs="Arial" w:eastAsia="Arial" w:hAnsi="Arial"/>
          <w:sz w:val="21"/>
          <w:szCs w:val="21"/>
        </w:rPr>
        <w:t xml:space="preserve">Managers may not indefinitely defer or deny leave requests. If no mutually agreeable dates can be found within 30 days of the original request, HR must be consulted to facilitate a resolution.</w:t>
      </w:r>
    </w:p>
    <w:p>
      <w:pPr>
        <w:pStyle w:val="Heading2"/>
        <w:spacing w:after="120" w:before="300"/>
      </w:pPr>
      <w:r>
        <w:rPr>
          <w:rFonts w:ascii="Arial" w:cs="Arial" w:eastAsia="Arial" w:hAnsi="Arial"/>
          <w:b/>
          <w:bCs/>
          <w:color w:val="1D6A72"/>
          <w:sz w:val="24"/>
          <w:szCs w:val="24"/>
        </w:rPr>
        <w:t xml:space="preserve">8.5  Blackout Periods</w:t>
      </w:r>
    </w:p>
    <w:p>
      <w:pPr>
        <w:spacing w:after="120"/>
      </w:pPr>
      <w:r>
        <w:rPr>
          <w:rFonts w:ascii="Arial" w:cs="Arial" w:eastAsia="Arial" w:hAnsi="Arial"/>
          <w:color w:val="222222"/>
          <w:sz w:val="22"/>
          <w:szCs w:val="22"/>
        </w:rPr>
        <w:t xml:space="preserve">Certain periods of the year may be designated as 'blackout periods' during which PTO requests are subject to heightened restrictions due to peak operational demand (e.g., end-of-quarter, product launches, tax season, or holiday retail periods). Blackout periods are communicated to affected employees at least 60 days in advance via team announcements and the HR portal.</w:t>
      </w:r>
    </w:p>
    <w:p>
      <w:pPr>
        <w:spacing w:after="120"/>
      </w:pPr>
      <w:r>
        <w:rPr>
          <w:rFonts w:ascii="Arial" w:cs="Arial" w:eastAsia="Arial" w:hAnsi="Arial"/>
          <w:color w:val="222222"/>
          <w:sz w:val="22"/>
          <w:szCs w:val="22"/>
        </w:rPr>
        <w:t xml:space="preserve">During blackout periods, PTO may still be approved at management discretion for extenuating circumstances. Sick leave, bereavement, jury duty, and legally protected leave are always available during blackout periods regardless of operational need.</w:t>
      </w:r>
    </w:p>
    <w:p>
      <w:pPr>
        <w:pStyle w:val="Heading2"/>
        <w:spacing w:after="120" w:before="300"/>
      </w:pPr>
      <w:r>
        <w:rPr>
          <w:rFonts w:ascii="Arial" w:cs="Arial" w:eastAsia="Arial" w:hAnsi="Arial"/>
          <w:b/>
          <w:bCs/>
          <w:color w:val="1D6A72"/>
          <w:sz w:val="24"/>
          <w:szCs w:val="24"/>
        </w:rPr>
        <w:t xml:space="preserve">8.6  Extended Leave Requests</w:t>
      </w:r>
    </w:p>
    <w:p>
      <w:pPr>
        <w:spacing w:after="120"/>
      </w:pPr>
      <w:r>
        <w:rPr>
          <w:rFonts w:ascii="Arial" w:cs="Arial" w:eastAsia="Arial" w:hAnsi="Arial"/>
          <w:color w:val="222222"/>
          <w:sz w:val="22"/>
          <w:szCs w:val="22"/>
        </w:rPr>
        <w:t xml:space="preserve">Requests for leave of 2 or more continuous weeks that are not covered by FMLA or another protected leave program require approval from both the direct manager and the HR Business Partner. Employees should contact HR to discuss extended leave needs at least 30 days in advance wherever possible.</w:t>
      </w:r>
    </w:p>
    <w:p>
      <w:pPr>
        <w:pStyle w:val="Heading1"/>
        <w:pBdr>
          <w:bottom w:val="single" w:color="1D6A72" w:sz="8" w:space="4"/>
        </w:pBdr>
        <w:spacing w:after="180" w:before="440"/>
      </w:pPr>
      <w:r>
        <w:rPr>
          <w:rFonts w:ascii="Arial" w:cs="Arial" w:eastAsia="Arial" w:hAnsi="Arial"/>
          <w:b/>
          <w:bCs/>
          <w:color w:val="1B2A4A"/>
          <w:sz w:val="28"/>
          <w:szCs w:val="28"/>
        </w:rPr>
        <w:t xml:space="preserve">9.  Timekeeping Responsibilities</w:t>
      </w:r>
    </w:p>
    <w:p>
      <w:pPr>
        <w:pStyle w:val="Heading2"/>
        <w:spacing w:after="120" w:before="300"/>
      </w:pPr>
      <w:r>
        <w:rPr>
          <w:rFonts w:ascii="Arial" w:cs="Arial" w:eastAsia="Arial" w:hAnsi="Arial"/>
          <w:b/>
          <w:bCs/>
          <w:color w:val="1D6A72"/>
          <w:sz w:val="24"/>
          <w:szCs w:val="24"/>
        </w:rPr>
        <w:t xml:space="preserve">9.1  Salaried Employees</w:t>
      </w:r>
    </w:p>
    <w:p>
      <w:pPr>
        <w:pBdr>
          <w:left w:val="single" w:color="2E5FA3" w:sz="24"/>
        </w:pBdr>
        <w:shd w:fill="EDF3FB" w:val="clear"/>
        <w:spacing w:after="160" w:before="60"/>
        <w:ind w:left="280" w:right="280"/>
      </w:pPr>
      <w:r>
        <w:rPr>
          <w:rFonts w:ascii="Arial" w:cs="Arial" w:eastAsia="Arial" w:hAnsi="Arial"/>
          <w:b/>
          <w:bCs/>
          <w:color w:val="2E5FA3"/>
          <w:sz w:val="21"/>
          <w:szCs w:val="21"/>
        </w:rPr>
        <w:t xml:space="preserve">SALARIED EMPLOYEES: </w:t>
      </w:r>
      <w:r>
        <w:rPr>
          <w:rFonts w:ascii="Arial" w:cs="Arial" w:eastAsia="Arial" w:hAnsi="Arial"/>
          <w:sz w:val="21"/>
          <w:szCs w:val="21"/>
        </w:rPr>
        <w:t xml:space="preserve">Salaried-exempt employees are not required to track hours worked on a daily basis. However, they are required to record leave (PTO, sick, floating holidays, and any partial-day absences) accurately in the HRMS. Failure to record leave accurately undermines accrual integrity and may result in pay adjustments or disciplinary action.</w:t>
      </w:r>
    </w:p>
    <w:p>
      <w:pPr>
        <w:pBdr>
          <w:left w:val="single" w:color="2E5FA3" w:sz="24"/>
        </w:pBdr>
        <w:shd w:fill="EDF3FB" w:val="clear"/>
        <w:spacing w:after="160" w:before="60"/>
        <w:ind w:left="280" w:right="280"/>
      </w:pPr>
      <w:r>
        <w:rPr>
          <w:rFonts w:ascii="Arial" w:cs="Arial" w:eastAsia="Arial" w:hAnsi="Arial"/>
          <w:b/>
          <w:bCs/>
          <w:color w:val="2E5FA3"/>
          <w:sz w:val="21"/>
          <w:szCs w:val="21"/>
        </w:rPr>
        <w:t xml:space="preserve">SALARIED EMPLOYEES: </w:t>
      </w:r>
      <w:r>
        <w:rPr>
          <w:rFonts w:ascii="Arial" w:cs="Arial" w:eastAsia="Arial" w:hAnsi="Arial"/>
          <w:sz w:val="21"/>
          <w:szCs w:val="21"/>
        </w:rPr>
        <w:t xml:space="preserve">Salaried-non-exempt employees must track all hours worked, including overtime, in the Company's time and attendance system. Leave must also be recorded in the HRMS. Both the time record and the leave record must be submitted by the payroll deadline each pay period.</w:t>
      </w:r>
    </w:p>
    <w:p>
      <w:pPr>
        <w:pStyle w:val="Heading2"/>
        <w:spacing w:after="120" w:before="300"/>
      </w:pPr>
      <w:r>
        <w:rPr>
          <w:rFonts w:ascii="Arial" w:cs="Arial" w:eastAsia="Arial" w:hAnsi="Arial"/>
          <w:b/>
          <w:bCs/>
          <w:color w:val="1D6A72"/>
          <w:sz w:val="24"/>
          <w:szCs w:val="24"/>
        </w:rPr>
        <w:t xml:space="preserve">9.2  Hourly Employees</w:t>
      </w:r>
    </w:p>
    <w:p>
      <w:pPr>
        <w:pBdr>
          <w:left w:val="single" w:color="2D7A3A" w:sz="24"/>
        </w:pBdr>
        <w:shd w:fill="F0F9F0" w:val="clear"/>
        <w:spacing w:after="160" w:before="60"/>
        <w:ind w:left="280" w:right="280"/>
      </w:pPr>
      <w:r>
        <w:rPr>
          <w:rFonts w:ascii="Arial" w:cs="Arial" w:eastAsia="Arial" w:hAnsi="Arial"/>
          <w:b/>
          <w:bCs/>
          <w:color w:val="2D7A3A"/>
          <w:sz w:val="21"/>
          <w:szCs w:val="21"/>
        </w:rPr>
        <w:t xml:space="preserve">HOURLY EMPLOYEES: </w:t>
      </w:r>
      <w:r>
        <w:rPr>
          <w:rFonts w:ascii="Arial" w:cs="Arial" w:eastAsia="Arial" w:hAnsi="Arial"/>
          <w:sz w:val="21"/>
          <w:szCs w:val="21"/>
        </w:rPr>
        <w:t xml:space="preserve">Hourly employees must clock in and out accurately for every shift using the designated time-tracking system (badge reader, app, or web portal as applicable to their work location). Key requirements include:</w:t>
      </w:r>
    </w:p>
    <w:p>
      <w:pPr>
        <w:pStyle w:val="ListParagraph"/>
        <w:numPr>
          <w:ilvl w:val="0"/>
          <w:numId w:val="4"/>
        </w:numPr>
        <w:spacing w:after="60"/>
      </w:pPr>
      <w:r>
        <w:rPr>
          <w:rFonts w:ascii="Arial" w:cs="Arial" w:eastAsia="Arial" w:hAnsi="Arial"/>
          <w:color w:val="444444"/>
          <w:sz w:val="21"/>
          <w:szCs w:val="21"/>
        </w:rPr>
        <w:t xml:space="preserve">Clock in no more than 7 minutes before the scheduled shift start and clock out no more than 7 minutes after the shift end, unless overtime is pre-approved</w:t>
      </w:r>
    </w:p>
    <w:p>
      <w:pPr>
        <w:pStyle w:val="ListParagraph"/>
        <w:numPr>
          <w:ilvl w:val="0"/>
          <w:numId w:val="4"/>
        </w:numPr>
        <w:spacing w:after="60"/>
      </w:pPr>
      <w:r>
        <w:rPr>
          <w:rFonts w:ascii="Arial" w:cs="Arial" w:eastAsia="Arial" w:hAnsi="Arial"/>
          <w:color w:val="444444"/>
          <w:sz w:val="21"/>
          <w:szCs w:val="21"/>
        </w:rPr>
        <w:t xml:space="preserve">Meal break periods of 30 minutes or more must be clocked out and back in; paid rest breaks do not require clock-out</w:t>
      </w:r>
    </w:p>
    <w:p>
      <w:pPr>
        <w:pStyle w:val="ListParagraph"/>
        <w:numPr>
          <w:ilvl w:val="0"/>
          <w:numId w:val="4"/>
        </w:numPr>
        <w:spacing w:after="60"/>
      </w:pPr>
      <w:r>
        <w:rPr>
          <w:rFonts w:ascii="Arial" w:cs="Arial" w:eastAsia="Arial" w:hAnsi="Arial"/>
          <w:color w:val="444444"/>
          <w:sz w:val="21"/>
          <w:szCs w:val="21"/>
        </w:rPr>
        <w:t xml:space="preserve">Employees may not clock in or out for another employee — doing so ('buddy punching') is grounds for immediate termination</w:t>
      </w:r>
    </w:p>
    <w:p>
      <w:pPr>
        <w:pStyle w:val="ListParagraph"/>
        <w:numPr>
          <w:ilvl w:val="0"/>
          <w:numId w:val="4"/>
        </w:numPr>
        <w:spacing w:after="60"/>
      </w:pPr>
      <w:r>
        <w:rPr>
          <w:rFonts w:ascii="Arial" w:cs="Arial" w:eastAsia="Arial" w:hAnsi="Arial"/>
          <w:color w:val="444444"/>
          <w:sz w:val="21"/>
          <w:szCs w:val="21"/>
        </w:rPr>
        <w:t xml:space="preserve">Timecards must be reviewed and submitted by the employee and approved by the manager before each payroll cutoff deadline</w:t>
      </w:r>
    </w:p>
    <w:p>
      <w:pPr>
        <w:pStyle w:val="ListParagraph"/>
        <w:numPr>
          <w:ilvl w:val="0"/>
          <w:numId w:val="4"/>
        </w:numPr>
        <w:spacing w:after="60"/>
      </w:pPr>
      <w:r>
        <w:rPr>
          <w:rFonts w:ascii="Arial" w:cs="Arial" w:eastAsia="Arial" w:hAnsi="Arial"/>
          <w:color w:val="444444"/>
          <w:sz w:val="21"/>
          <w:szCs w:val="21"/>
        </w:rPr>
        <w:t xml:space="preserve">Discrepancies in time records must be reported to the manager immediately and corrected before the pay period closes; retroactive corrections require HR approval</w:t>
      </w:r>
    </w:p>
    <w:p>
      <w:pPr>
        <w:pStyle w:val="Heading2"/>
        <w:spacing w:after="120" w:before="300"/>
      </w:pPr>
      <w:r>
        <w:rPr>
          <w:rFonts w:ascii="Arial" w:cs="Arial" w:eastAsia="Arial" w:hAnsi="Arial"/>
          <w:b/>
          <w:bCs/>
          <w:color w:val="1D6A72"/>
          <w:sz w:val="24"/>
          <w:szCs w:val="24"/>
        </w:rPr>
        <w:t xml:space="preserve">9.3  Timekeeping Accuracy</w:t>
      </w:r>
    </w:p>
    <w:p>
      <w:pPr>
        <w:spacing w:after="120"/>
      </w:pPr>
      <w:r>
        <w:rPr>
          <w:rFonts w:ascii="Arial" w:cs="Arial" w:eastAsia="Arial" w:hAnsi="Arial"/>
          <w:color w:val="222222"/>
          <w:sz w:val="22"/>
          <w:szCs w:val="22"/>
        </w:rPr>
        <w:t xml:space="preserve">Accurate timekeeping is both a legal requirement (under FLSA) and an operational obligation. The Company prohibits the falsification of time records in any form. Employees must not work off the clock, and managers must not instruct employees to do so. If an employee is asked to work without compensation, they should report it to HR immediately.</w:t>
      </w:r>
    </w:p>
    <w:p>
      <w:pPr>
        <w:pStyle w:val="Heading1"/>
        <w:pBdr>
          <w:bottom w:val="single" w:color="1D6A72" w:sz="8" w:space="4"/>
        </w:pBdr>
        <w:spacing w:after="180" w:before="440"/>
      </w:pPr>
      <w:r>
        <w:rPr>
          <w:rFonts w:ascii="Arial" w:cs="Arial" w:eastAsia="Arial" w:hAnsi="Arial"/>
          <w:b/>
          <w:bCs/>
          <w:color w:val="1B2A4A"/>
          <w:sz w:val="28"/>
          <w:szCs w:val="28"/>
        </w:rPr>
        <w:t xml:space="preserve">10.  Attendance Expectations</w:t>
      </w:r>
    </w:p>
    <w:p>
      <w:pPr>
        <w:pStyle w:val="Heading2"/>
        <w:spacing w:after="120" w:before="300"/>
      </w:pPr>
      <w:r>
        <w:rPr>
          <w:rFonts w:ascii="Arial" w:cs="Arial" w:eastAsia="Arial" w:hAnsi="Arial"/>
          <w:b/>
          <w:bCs/>
          <w:color w:val="1D6A72"/>
          <w:sz w:val="24"/>
          <w:szCs w:val="24"/>
        </w:rPr>
        <w:t xml:space="preserve">10.1  General Standards</w:t>
      </w:r>
    </w:p>
    <w:p>
      <w:pPr>
        <w:spacing w:after="120"/>
      </w:pPr>
      <w:r>
        <w:rPr>
          <w:rFonts w:ascii="Arial" w:cs="Arial" w:eastAsia="Arial" w:hAnsi="Arial"/>
          <w:color w:val="222222"/>
          <w:sz w:val="22"/>
          <w:szCs w:val="22"/>
        </w:rPr>
        <w:t xml:space="preserve">Regular, reliable, and punctual attendance is a fundamental job requirement for all employees. Attendance expectations apply whether the employee works on-site, hybrid, or fully remote. The following standards apply:</w:t>
      </w:r>
    </w:p>
    <w:p>
      <w:pPr>
        <w:pStyle w:val="ListParagraph"/>
        <w:numPr>
          <w:ilvl w:val="0"/>
          <w:numId w:val="2"/>
        </w:numPr>
        <w:spacing w:after="80"/>
      </w:pPr>
      <w:r>
        <w:rPr>
          <w:rFonts w:ascii="Arial" w:cs="Arial" w:eastAsia="Arial" w:hAnsi="Arial"/>
          <w:sz w:val="22"/>
          <w:szCs w:val="22"/>
        </w:rPr>
        <w:t xml:space="preserve">Employees must be ready to begin work at their scheduled start time</w:t>
      </w:r>
    </w:p>
    <w:p>
      <w:pPr>
        <w:pStyle w:val="ListParagraph"/>
        <w:numPr>
          <w:ilvl w:val="0"/>
          <w:numId w:val="2"/>
        </w:numPr>
        <w:spacing w:after="80"/>
      </w:pPr>
      <w:r>
        <w:rPr>
          <w:rFonts w:ascii="Arial" w:cs="Arial" w:eastAsia="Arial" w:hAnsi="Arial"/>
          <w:sz w:val="22"/>
          <w:szCs w:val="22"/>
        </w:rPr>
        <w:t xml:space="preserve">Employees must adhere to their scheduled shift or core hours as agreed with their manager</w:t>
      </w:r>
    </w:p>
    <w:p>
      <w:pPr>
        <w:pStyle w:val="ListParagraph"/>
        <w:numPr>
          <w:ilvl w:val="0"/>
          <w:numId w:val="2"/>
        </w:numPr>
        <w:spacing w:after="80"/>
      </w:pPr>
      <w:r>
        <w:rPr>
          <w:rFonts w:ascii="Arial" w:cs="Arial" w:eastAsia="Arial" w:hAnsi="Arial"/>
          <w:sz w:val="22"/>
          <w:szCs w:val="22"/>
        </w:rPr>
        <w:t xml:space="preserve">All absences must be properly reported through the appropriate channels (see Section 8.3)</w:t>
      </w:r>
    </w:p>
    <w:p>
      <w:pPr>
        <w:pStyle w:val="ListParagraph"/>
        <w:numPr>
          <w:ilvl w:val="0"/>
          <w:numId w:val="2"/>
        </w:numPr>
        <w:spacing w:after="80"/>
      </w:pPr>
      <w:r>
        <w:rPr>
          <w:rFonts w:ascii="Arial" w:cs="Arial" w:eastAsia="Arial" w:hAnsi="Arial"/>
          <w:sz w:val="22"/>
          <w:szCs w:val="22"/>
        </w:rPr>
        <w:t xml:space="preserve">Employees are expected to maintain schedule consistency; frequent schedule irregularities are subject to review</w:t>
      </w:r>
    </w:p>
    <w:p>
      <w:pPr>
        <w:pStyle w:val="Heading2"/>
        <w:spacing w:after="120" w:before="300"/>
      </w:pPr>
      <w:r>
        <w:rPr>
          <w:rFonts w:ascii="Arial" w:cs="Arial" w:eastAsia="Arial" w:hAnsi="Arial"/>
          <w:b/>
          <w:bCs/>
          <w:color w:val="1D6A72"/>
          <w:sz w:val="24"/>
          <w:szCs w:val="24"/>
        </w:rPr>
        <w:t xml:space="preserve">10.2  Punctuality</w:t>
      </w:r>
    </w:p>
    <w:p>
      <w:pPr>
        <w:spacing w:after="120"/>
      </w:pPr>
      <w:r>
        <w:rPr>
          <w:rFonts w:ascii="Arial" w:cs="Arial" w:eastAsia="Arial" w:hAnsi="Arial"/>
          <w:color w:val="222222"/>
          <w:sz w:val="22"/>
          <w:szCs w:val="22"/>
        </w:rPr>
        <w:t xml:space="preserve">Tardiness is defined as arriving after the scheduled start time without prior approval. Isolated instances are understood; habitual tardiness is not acceptable.</w:t>
      </w:r>
    </w:p>
    <w:p>
      <w:pPr>
        <w:pBdr>
          <w:left w:val="single" w:color="2E5FA3" w:sz="24"/>
        </w:pBdr>
        <w:shd w:fill="EDF3FB" w:val="clear"/>
        <w:spacing w:after="160" w:before="60"/>
        <w:ind w:left="280" w:right="280"/>
      </w:pPr>
      <w:r>
        <w:rPr>
          <w:rFonts w:ascii="Arial" w:cs="Arial" w:eastAsia="Arial" w:hAnsi="Arial"/>
          <w:b/>
          <w:bCs/>
          <w:color w:val="2E5FA3"/>
          <w:sz w:val="21"/>
          <w:szCs w:val="21"/>
        </w:rPr>
        <w:t xml:space="preserve">SALARIED EMPLOYEES: </w:t>
      </w:r>
      <w:r>
        <w:rPr>
          <w:rFonts w:ascii="Arial" w:cs="Arial" w:eastAsia="Arial" w:hAnsi="Arial"/>
          <w:sz w:val="21"/>
          <w:szCs w:val="21"/>
        </w:rPr>
        <w:t xml:space="preserve">Salaried-exempt employees who arrive late or leave early are expected to make up the time within the same workweek or record a partial-day PTO deduction. Deductions from the salary of an exempt employee for partial-day absences are generally prohibited under the FLSA, except in the first and last week of employment or after FMLA/similar leave is exhausted.</w:t>
      </w:r>
    </w:p>
    <w:p>
      <w:pPr>
        <w:pBdr>
          <w:left w:val="single" w:color="2D7A3A" w:sz="24"/>
        </w:pBdr>
        <w:shd w:fill="F0F9F0" w:val="clear"/>
        <w:spacing w:after="160" w:before="60"/>
        <w:ind w:left="280" w:right="280"/>
      </w:pPr>
      <w:r>
        <w:rPr>
          <w:rFonts w:ascii="Arial" w:cs="Arial" w:eastAsia="Arial" w:hAnsi="Arial"/>
          <w:b/>
          <w:bCs/>
          <w:color w:val="2D7A3A"/>
          <w:sz w:val="21"/>
          <w:szCs w:val="21"/>
        </w:rPr>
        <w:t xml:space="preserve">HOURLY EMPLOYEES: </w:t>
      </w:r>
      <w:r>
        <w:rPr>
          <w:rFonts w:ascii="Arial" w:cs="Arial" w:eastAsia="Arial" w:hAnsi="Arial"/>
          <w:sz w:val="21"/>
          <w:szCs w:val="21"/>
        </w:rPr>
        <w:t xml:space="preserve">Hourly employees are paid only for time actually worked. Late arrivals reduce paid hours for that shift. Three (3) instances of tardiness within a rolling 30-day period will trigger a formal discussion with the manager and may result in progressive disciplinary action.</w:t>
      </w:r>
    </w:p>
    <w:p>
      <w:pPr>
        <w:pStyle w:val="Heading2"/>
        <w:spacing w:after="120" w:before="300"/>
      </w:pPr>
      <w:r>
        <w:rPr>
          <w:rFonts w:ascii="Arial" w:cs="Arial" w:eastAsia="Arial" w:hAnsi="Arial"/>
          <w:b/>
          <w:bCs/>
          <w:color w:val="1D6A72"/>
          <w:sz w:val="24"/>
          <w:szCs w:val="24"/>
        </w:rPr>
        <w:t xml:space="preserve">10.3  Absence Classification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00"/>
        <w:gridCol w:w="20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Absence Type</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Definition</w:t>
            </w:r>
          </w:p>
        </w:tc>
        <w:tc>
          <w:tcPr>
            <w:tcW w:type="dxa" w:w="230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Pay Impact</w:t>
            </w:r>
          </w:p>
        </w:tc>
        <w:tc>
          <w:tcPr>
            <w:tcW w:type="dxa" w:w="206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Counts Toward Attendance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Excused — Paid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Approved PTO, sick leave, approved leave of absence with pay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No impact; paid as normal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No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Excused — Unpaid</w:t>
            </w:r>
          </w:p>
        </w:tc>
        <w:tc>
          <w:tcPr>
            <w:tcW w:type="dxa" w:w="30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Approved unpaid leave (FMLA, personal leave) or approved partial-pay leave</w:t>
            </w:r>
          </w:p>
        </w:tc>
        <w:tc>
          <w:tcPr>
            <w:tcW w:type="dxa" w:w="23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Pay reduced per approved terms</w:t>
            </w:r>
          </w:p>
        </w:tc>
        <w:tc>
          <w:tcPr>
            <w:tcW w:type="dxa" w:w="20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Unexcused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Absence without proper notification or approval; denied leave taken anyway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No pay for hourly; PTO deducted for salaried if available; unpaid if not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Yes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No-Call No-Show</w:t>
            </w:r>
          </w:p>
        </w:tc>
        <w:tc>
          <w:tcPr>
            <w:tcW w:type="dxa" w:w="30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Failure to report AND failure to notify manager before scheduled start</w:t>
            </w:r>
          </w:p>
        </w:tc>
        <w:tc>
          <w:tcPr>
            <w:tcW w:type="dxa" w:w="23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No pay (hourly); PTO deducted or unpaid (salaried)</w:t>
            </w:r>
          </w:p>
        </w:tc>
        <w:tc>
          <w:tcPr>
            <w:tcW w:type="dxa" w:w="20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Yes — heightened 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Excused Late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Tardy arrival with advance notice and manager approval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Hourly: reduced hours paid; Salaried: PTO or flex arrangement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No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Unexcused Late</w:t>
            </w:r>
          </w:p>
        </w:tc>
        <w:tc>
          <w:tcPr>
            <w:tcW w:type="dxa" w:w="30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Tardy arrival without notice or approval</w:t>
            </w:r>
          </w:p>
        </w:tc>
        <w:tc>
          <w:tcPr>
            <w:tcW w:type="dxa" w:w="23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Hourly: only actual time paid; Salaried: may result in PTO deduction</w:t>
            </w:r>
          </w:p>
        </w:tc>
        <w:tc>
          <w:tcPr>
            <w:tcW w:type="dxa" w:w="20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Yes</w:t>
            </w:r>
          </w:p>
        </w:tc>
      </w:tr>
    </w:tbl>
    <w:p>
      <w:pPr>
        <w:spacing w:after="160"/>
      </w:pPr>
    </w:p>
    <w:p>
      <w:pPr>
        <w:pStyle w:val="Heading2"/>
        <w:spacing w:after="120" w:before="300"/>
      </w:pPr>
      <w:r>
        <w:rPr>
          <w:rFonts w:ascii="Arial" w:cs="Arial" w:eastAsia="Arial" w:hAnsi="Arial"/>
          <w:b/>
          <w:bCs/>
          <w:color w:val="1D6A72"/>
          <w:sz w:val="24"/>
          <w:szCs w:val="24"/>
        </w:rPr>
        <w:t xml:space="preserve">10.4  No-Call No-Show (NCNS) Policy</w:t>
      </w:r>
    </w:p>
    <w:p>
      <w:pPr>
        <w:spacing w:after="120"/>
      </w:pPr>
      <w:r>
        <w:rPr>
          <w:rFonts w:ascii="Arial" w:cs="Arial" w:eastAsia="Arial" w:hAnsi="Arial"/>
          <w:color w:val="222222"/>
          <w:sz w:val="22"/>
          <w:szCs w:val="22"/>
        </w:rPr>
        <w:t xml:space="preserve">A no-call no-show (NCNS) is one of the most serious attendance violations. The following standards apply:</w:t>
      </w:r>
    </w:p>
    <w:p>
      <w:pPr>
        <w:pStyle w:val="ListParagraph"/>
        <w:numPr>
          <w:ilvl w:val="0"/>
          <w:numId w:val="2"/>
        </w:numPr>
        <w:spacing w:after="80"/>
      </w:pPr>
      <w:r>
        <w:rPr>
          <w:rFonts w:ascii="Arial" w:cs="Arial" w:eastAsia="Arial" w:hAnsi="Arial"/>
          <w:sz w:val="22"/>
          <w:szCs w:val="22"/>
        </w:rPr>
        <w:t xml:space="preserve">First NCNS: Verbal warning and documented conversation with manager</w:t>
      </w:r>
    </w:p>
    <w:p>
      <w:pPr>
        <w:pStyle w:val="ListParagraph"/>
        <w:numPr>
          <w:ilvl w:val="0"/>
          <w:numId w:val="2"/>
        </w:numPr>
        <w:spacing w:after="80"/>
      </w:pPr>
      <w:r>
        <w:rPr>
          <w:rFonts w:ascii="Arial" w:cs="Arial" w:eastAsia="Arial" w:hAnsi="Arial"/>
          <w:sz w:val="22"/>
          <w:szCs w:val="22"/>
        </w:rPr>
        <w:t xml:space="preserve">Second NCNS within a rolling 12-month period: Written warning</w:t>
      </w:r>
    </w:p>
    <w:p>
      <w:pPr>
        <w:pStyle w:val="ListParagraph"/>
        <w:numPr>
          <w:ilvl w:val="0"/>
          <w:numId w:val="2"/>
        </w:numPr>
        <w:spacing w:after="80"/>
      </w:pPr>
      <w:r>
        <w:rPr>
          <w:rFonts w:ascii="Arial" w:cs="Arial" w:eastAsia="Arial" w:hAnsi="Arial"/>
          <w:sz w:val="22"/>
          <w:szCs w:val="22"/>
        </w:rPr>
        <w:t xml:space="preserve">Third NCNS within a rolling 12-month period: Final written warning or termination</w:t>
      </w:r>
    </w:p>
    <w:p>
      <w:pPr>
        <w:pStyle w:val="ListParagraph"/>
        <w:numPr>
          <w:ilvl w:val="0"/>
          <w:numId w:val="2"/>
        </w:numPr>
        <w:spacing w:after="80"/>
      </w:pPr>
      <w:r>
        <w:rPr>
          <w:rFonts w:ascii="Arial" w:cs="Arial" w:eastAsia="Arial" w:hAnsi="Arial"/>
          <w:sz w:val="22"/>
          <w:szCs w:val="22"/>
        </w:rPr>
        <w:t xml:space="preserve">Three (3) consecutive NCNS days: May be treated as voluntary resignation (job abandonment)</w:t>
      </w:r>
    </w:p>
    <w:p>
      <w:pPr>
        <w:pBdr>
          <w:left w:val="single" w:color="1D6A72" w:sz="24"/>
        </w:pBdr>
        <w:shd w:fill="D4ECEE" w:val="clear"/>
        <w:spacing w:after="160" w:before="60"/>
        <w:ind w:left="280" w:right="280"/>
      </w:pPr>
      <w:r>
        <w:rPr>
          <w:rFonts w:ascii="Arial" w:cs="Arial" w:eastAsia="Arial" w:hAnsi="Arial"/>
          <w:b/>
          <w:bCs/>
          <w:color w:val="1D6A72"/>
          <w:sz w:val="21"/>
          <w:szCs w:val="21"/>
        </w:rPr>
        <w:t xml:space="preserve">ALL EMPLOYEES: </w:t>
      </w:r>
      <w:r>
        <w:rPr>
          <w:rFonts w:ascii="Arial" w:cs="Arial" w:eastAsia="Arial" w:hAnsi="Arial"/>
          <w:sz w:val="21"/>
          <w:szCs w:val="21"/>
        </w:rPr>
        <w:t xml:space="preserve">Job abandonment determination requires documented good-faith attempts by the manager to contact the employee before the resignation is formalized. HR must be consulted before any job abandonment termination is processed.</w:t>
      </w:r>
    </w:p>
    <w:p>
      <w:pPr>
        <w:pStyle w:val="Heading2"/>
        <w:spacing w:after="120" w:before="300"/>
      </w:pPr>
      <w:r>
        <w:rPr>
          <w:rFonts w:ascii="Arial" w:cs="Arial" w:eastAsia="Arial" w:hAnsi="Arial"/>
          <w:b/>
          <w:bCs/>
          <w:color w:val="1D6A72"/>
          <w:sz w:val="24"/>
          <w:szCs w:val="24"/>
        </w:rPr>
        <w:t xml:space="preserve">10.5  Excessive Absenteeism</w:t>
      </w:r>
    </w:p>
    <w:p>
      <w:pPr>
        <w:spacing w:after="120"/>
      </w:pPr>
      <w:r>
        <w:rPr>
          <w:rFonts w:ascii="Arial" w:cs="Arial" w:eastAsia="Arial" w:hAnsi="Arial"/>
          <w:color w:val="222222"/>
          <w:sz w:val="22"/>
          <w:szCs w:val="22"/>
        </w:rPr>
        <w:t xml:space="preserve">Attendance is monitored on a rolling 12-month basis. Excessive absenteeism is defined as:</w:t>
      </w:r>
    </w:p>
    <w:p>
      <w:pPr>
        <w:pBdr>
          <w:left w:val="single" w:color="2E5FA3" w:sz="24"/>
        </w:pBdr>
        <w:shd w:fill="EDF3FB" w:val="clear"/>
        <w:spacing w:after="160" w:before="60"/>
        <w:ind w:left="280" w:right="280"/>
      </w:pPr>
      <w:r>
        <w:rPr>
          <w:rFonts w:ascii="Arial" w:cs="Arial" w:eastAsia="Arial" w:hAnsi="Arial"/>
          <w:b/>
          <w:bCs/>
          <w:color w:val="2E5FA3"/>
          <w:sz w:val="21"/>
          <w:szCs w:val="21"/>
        </w:rPr>
        <w:t xml:space="preserve">SALARIED EMPLOYEES: </w:t>
      </w:r>
      <w:r>
        <w:rPr>
          <w:rFonts w:ascii="Arial" w:cs="Arial" w:eastAsia="Arial" w:hAnsi="Arial"/>
          <w:sz w:val="21"/>
          <w:szCs w:val="21"/>
        </w:rPr>
        <w:t xml:space="preserve">Salaried employees: More than 6 unexcused absences or a pattern of frequent unexcused tardiness (8 or more instances) in a rolling 12-month period.</w:t>
      </w:r>
    </w:p>
    <w:p>
      <w:pPr>
        <w:pBdr>
          <w:left w:val="single" w:color="2D7A3A" w:sz="24"/>
        </w:pBdr>
        <w:shd w:fill="F0F9F0" w:val="clear"/>
        <w:spacing w:after="160" w:before="60"/>
        <w:ind w:left="280" w:right="280"/>
      </w:pPr>
      <w:r>
        <w:rPr>
          <w:rFonts w:ascii="Arial" w:cs="Arial" w:eastAsia="Arial" w:hAnsi="Arial"/>
          <w:b/>
          <w:bCs/>
          <w:color w:val="2D7A3A"/>
          <w:sz w:val="21"/>
          <w:szCs w:val="21"/>
        </w:rPr>
        <w:t xml:space="preserve">HOURLY EMPLOYEES: </w:t>
      </w:r>
      <w:r>
        <w:rPr>
          <w:rFonts w:ascii="Arial" w:cs="Arial" w:eastAsia="Arial" w:hAnsi="Arial"/>
          <w:sz w:val="21"/>
          <w:szCs w:val="21"/>
        </w:rPr>
        <w:t xml:space="preserve">Hourly employees: More than 4 unexcused absences OR more than 3 instances of tardiness in a rolling 30-day period triggers a formal attendance review. More than 8 unexcused absences in a rolling 12-month period is grounds for termination.</w:t>
      </w:r>
    </w:p>
    <w:p>
      <w:pPr>
        <w:spacing w:after="120"/>
      </w:pPr>
      <w:r>
        <w:rPr>
          <w:rFonts w:ascii="Arial" w:cs="Arial" w:eastAsia="Arial" w:hAnsi="Arial"/>
          <w:color w:val="222222"/>
          <w:sz w:val="22"/>
          <w:szCs w:val="22"/>
        </w:rPr>
        <w:t xml:space="preserve">Excused absences (approved PTO, sick leave used appropriately, approved leaves, legally protected absences) do not count toward these thresholds. A pattern of Monday/Friday absences or absences immediately before or after holidays may be flagged for review even if the count threshold has not been reached.</w:t>
      </w:r>
    </w:p>
    <w:p>
      <w:pPr>
        <w:pStyle w:val="Heading2"/>
        <w:spacing w:after="120" w:before="300"/>
      </w:pPr>
      <w:r>
        <w:rPr>
          <w:rFonts w:ascii="Arial" w:cs="Arial" w:eastAsia="Arial" w:hAnsi="Arial"/>
          <w:b/>
          <w:bCs/>
          <w:color w:val="1D6A72"/>
          <w:sz w:val="24"/>
          <w:szCs w:val="24"/>
        </w:rPr>
        <w:t xml:space="preserve">10.6  Protected &amp; Legally Mandated Absences</w:t>
      </w:r>
    </w:p>
    <w:p>
      <w:pPr>
        <w:spacing w:after="120"/>
      </w:pPr>
      <w:r>
        <w:rPr>
          <w:rFonts w:ascii="Arial" w:cs="Arial" w:eastAsia="Arial" w:hAnsi="Arial"/>
          <w:color w:val="222222"/>
          <w:sz w:val="22"/>
          <w:szCs w:val="22"/>
        </w:rPr>
        <w:t xml:space="preserve">The following absences are legally protected and will never count toward attendance thresholds or trigger disciplinary action:</w:t>
      </w:r>
    </w:p>
    <w:p>
      <w:pPr>
        <w:pStyle w:val="ListParagraph"/>
        <w:numPr>
          <w:ilvl w:val="0"/>
          <w:numId w:val="2"/>
        </w:numPr>
        <w:spacing w:after="80"/>
      </w:pPr>
      <w:r>
        <w:rPr>
          <w:rFonts w:ascii="Arial" w:cs="Arial" w:eastAsia="Arial" w:hAnsi="Arial"/>
          <w:sz w:val="22"/>
          <w:szCs w:val="22"/>
        </w:rPr>
        <w:t xml:space="preserve">Leave taken under the FMLA or state equivalent family and medical leave laws</w:t>
      </w:r>
    </w:p>
    <w:p>
      <w:pPr>
        <w:pStyle w:val="ListParagraph"/>
        <w:numPr>
          <w:ilvl w:val="0"/>
          <w:numId w:val="2"/>
        </w:numPr>
        <w:spacing w:after="80"/>
      </w:pPr>
      <w:r>
        <w:rPr>
          <w:rFonts w:ascii="Arial" w:cs="Arial" w:eastAsia="Arial" w:hAnsi="Arial"/>
          <w:sz w:val="22"/>
          <w:szCs w:val="22"/>
        </w:rPr>
        <w:t xml:space="preserve">Absences covered by state disability or paid family leave programs</w:t>
      </w:r>
    </w:p>
    <w:p>
      <w:pPr>
        <w:pStyle w:val="ListParagraph"/>
        <w:numPr>
          <w:ilvl w:val="0"/>
          <w:numId w:val="2"/>
        </w:numPr>
        <w:spacing w:after="80"/>
      </w:pPr>
      <w:r>
        <w:rPr>
          <w:rFonts w:ascii="Arial" w:cs="Arial" w:eastAsia="Arial" w:hAnsi="Arial"/>
          <w:sz w:val="22"/>
          <w:szCs w:val="22"/>
        </w:rPr>
        <w:t xml:space="preserve">Leave required as a reasonable accommodation under the ADA</w:t>
      </w:r>
    </w:p>
    <w:p>
      <w:pPr>
        <w:pStyle w:val="ListParagraph"/>
        <w:numPr>
          <w:ilvl w:val="0"/>
          <w:numId w:val="2"/>
        </w:numPr>
        <w:spacing w:after="80"/>
      </w:pPr>
      <w:r>
        <w:rPr>
          <w:rFonts w:ascii="Arial" w:cs="Arial" w:eastAsia="Arial" w:hAnsi="Arial"/>
          <w:sz w:val="22"/>
          <w:szCs w:val="22"/>
        </w:rPr>
        <w:t xml:space="preserve">Absences related to domestic violence, sexual assault, or stalking (per applicable state laws)</w:t>
      </w:r>
    </w:p>
    <w:p>
      <w:pPr>
        <w:pStyle w:val="ListParagraph"/>
        <w:numPr>
          <w:ilvl w:val="0"/>
          <w:numId w:val="2"/>
        </w:numPr>
        <w:spacing w:after="80"/>
      </w:pPr>
      <w:r>
        <w:rPr>
          <w:rFonts w:ascii="Arial" w:cs="Arial" w:eastAsia="Arial" w:hAnsi="Arial"/>
          <w:sz w:val="22"/>
          <w:szCs w:val="22"/>
        </w:rPr>
        <w:t xml:space="preserve">Military service leave under USERRA</w:t>
      </w:r>
    </w:p>
    <w:p>
      <w:pPr>
        <w:pStyle w:val="ListParagraph"/>
        <w:numPr>
          <w:ilvl w:val="0"/>
          <w:numId w:val="2"/>
        </w:numPr>
        <w:spacing w:after="80"/>
      </w:pPr>
      <w:r>
        <w:rPr>
          <w:rFonts w:ascii="Arial" w:cs="Arial" w:eastAsia="Arial" w:hAnsi="Arial"/>
          <w:sz w:val="22"/>
          <w:szCs w:val="22"/>
        </w:rPr>
        <w:t xml:space="preserve">Jury duty and mandatory civic service</w:t>
      </w:r>
    </w:p>
    <w:p>
      <w:pPr>
        <w:pStyle w:val="ListParagraph"/>
        <w:numPr>
          <w:ilvl w:val="0"/>
          <w:numId w:val="2"/>
        </w:numPr>
        <w:spacing w:after="80"/>
      </w:pPr>
      <w:r>
        <w:rPr>
          <w:rFonts w:ascii="Arial" w:cs="Arial" w:eastAsia="Arial" w:hAnsi="Arial"/>
          <w:sz w:val="22"/>
          <w:szCs w:val="22"/>
        </w:rPr>
        <w:t xml:space="preserve">Voting leave (where required by applicable state law)</w:t>
      </w:r>
    </w:p>
    <w:p>
      <w:pPr>
        <w:pBdr>
          <w:left w:val="single" w:color="1D6A72" w:sz="24"/>
        </w:pBdr>
        <w:shd w:fill="D4ECEE" w:val="clear"/>
        <w:spacing w:after="160" w:before="60"/>
        <w:ind w:left="280" w:right="280"/>
      </w:pPr>
      <w:r>
        <w:rPr>
          <w:rFonts w:ascii="Arial" w:cs="Arial" w:eastAsia="Arial" w:hAnsi="Arial"/>
          <w:b/>
          <w:bCs/>
          <w:color w:val="1D6A72"/>
          <w:sz w:val="21"/>
          <w:szCs w:val="21"/>
        </w:rPr>
        <w:t xml:space="preserve">ALL EMPLOYEES: </w:t>
      </w:r>
      <w:r>
        <w:rPr>
          <w:rFonts w:ascii="Arial" w:cs="Arial" w:eastAsia="Arial" w:hAnsi="Arial"/>
          <w:sz w:val="21"/>
          <w:szCs w:val="21"/>
        </w:rPr>
        <w:t xml:space="preserve">The Company will never discipline an employee for an absence later determined to be FMLA-qualifying, even if the employee did not explicitly invoke FMLA at the time of the absence. HR will retroactively designate the leave if the condition qualifies.</w:t>
      </w:r>
    </w:p>
    <w:p>
      <w:pPr>
        <w:pStyle w:val="Heading1"/>
        <w:pBdr>
          <w:bottom w:val="single" w:color="1D6A72" w:sz="8" w:space="4"/>
        </w:pBdr>
        <w:spacing w:after="180" w:before="440"/>
      </w:pPr>
      <w:r>
        <w:rPr>
          <w:rFonts w:ascii="Arial" w:cs="Arial" w:eastAsia="Arial" w:hAnsi="Arial"/>
          <w:b/>
          <w:bCs/>
          <w:color w:val="1B2A4A"/>
          <w:sz w:val="28"/>
          <w:szCs w:val="28"/>
        </w:rPr>
        <w:t xml:space="preserve">11.  Remote &amp; Hybrid Employee Attendance</w:t>
      </w:r>
    </w:p>
    <w:p>
      <w:pPr>
        <w:spacing w:after="120"/>
      </w:pPr>
      <w:r>
        <w:rPr>
          <w:rFonts w:ascii="Arial" w:cs="Arial" w:eastAsia="Arial" w:hAnsi="Arial"/>
          <w:color w:val="222222"/>
          <w:sz w:val="22"/>
          <w:szCs w:val="22"/>
        </w:rPr>
        <w:t xml:space="preserve">Remote and hybrid employees are subject to the same attendance expectations as on-site employees. Being remote does not reduce the obligation to be available and productive during scheduled hours. The following additional guidelines apply:</w:t>
      </w:r>
    </w:p>
    <w:p>
      <w:pPr>
        <w:pStyle w:val="ListParagraph"/>
        <w:numPr>
          <w:ilvl w:val="0"/>
          <w:numId w:val="2"/>
        </w:numPr>
        <w:spacing w:after="80"/>
      </w:pPr>
      <w:r>
        <w:rPr>
          <w:rFonts w:ascii="Arial" w:cs="Arial" w:eastAsia="Arial" w:hAnsi="Arial"/>
          <w:sz w:val="22"/>
          <w:szCs w:val="22"/>
        </w:rPr>
        <w:t xml:space="preserve">Remote employees must be reachable via the Company's primary communication tools (Slack/Teams) during core business hours unless on approved leave or a scheduled break</w:t>
      </w:r>
    </w:p>
    <w:p>
      <w:pPr>
        <w:pStyle w:val="ListParagraph"/>
        <w:numPr>
          <w:ilvl w:val="0"/>
          <w:numId w:val="2"/>
        </w:numPr>
        <w:spacing w:after="80"/>
      </w:pPr>
      <w:r>
        <w:rPr>
          <w:rFonts w:ascii="Arial" w:cs="Arial" w:eastAsia="Arial" w:hAnsi="Arial"/>
          <w:sz w:val="22"/>
          <w:szCs w:val="22"/>
        </w:rPr>
        <w:t xml:space="preserve">Unplanned disconnection from work during scheduled hours (e.g., being unreachable for more than 2 hours without notice) is treated as an unexcused partial absence</w:t>
      </w:r>
    </w:p>
    <w:p>
      <w:pPr>
        <w:pStyle w:val="ListParagraph"/>
        <w:numPr>
          <w:ilvl w:val="0"/>
          <w:numId w:val="2"/>
        </w:numPr>
        <w:spacing w:after="80"/>
      </w:pPr>
      <w:r>
        <w:rPr>
          <w:rFonts w:ascii="Arial" w:cs="Arial" w:eastAsia="Arial" w:hAnsi="Arial"/>
          <w:sz w:val="22"/>
          <w:szCs w:val="22"/>
        </w:rPr>
        <w:t xml:space="preserve">Hybrid employees must adhere to their designated on-site schedule; remote-day attendance expectations apply on remote days</w:t>
      </w:r>
    </w:p>
    <w:p>
      <w:pPr>
        <w:pStyle w:val="ListParagraph"/>
        <w:numPr>
          <w:ilvl w:val="0"/>
          <w:numId w:val="2"/>
        </w:numPr>
        <w:spacing w:after="80"/>
      </w:pPr>
      <w:r>
        <w:rPr>
          <w:rFonts w:ascii="Arial" w:cs="Arial" w:eastAsia="Arial" w:hAnsi="Arial"/>
          <w:sz w:val="22"/>
          <w:szCs w:val="22"/>
        </w:rPr>
        <w:t xml:space="preserve">Remote employees in different time zones must have their schedule and core hours agreed in writing with their manager and documented in the HRMS</w:t>
      </w:r>
    </w:p>
    <w:p>
      <w:pPr>
        <w:pBdr>
          <w:left w:val="single" w:color="2D7A3A" w:sz="24"/>
        </w:pBdr>
        <w:shd w:fill="F0F9F0" w:val="clear"/>
        <w:spacing w:after="160" w:before="60"/>
        <w:ind w:left="280" w:right="280"/>
      </w:pPr>
      <w:r>
        <w:rPr>
          <w:rFonts w:ascii="Arial" w:cs="Arial" w:eastAsia="Arial" w:hAnsi="Arial"/>
          <w:b/>
          <w:bCs/>
          <w:color w:val="2D7A3A"/>
          <w:sz w:val="21"/>
          <w:szCs w:val="21"/>
        </w:rPr>
        <w:t xml:space="preserve">HOURLY EMPLOYEES: </w:t>
      </w:r>
      <w:r>
        <w:rPr>
          <w:rFonts w:ascii="Arial" w:cs="Arial" w:eastAsia="Arial" w:hAnsi="Arial"/>
          <w:sz w:val="21"/>
          <w:szCs w:val="21"/>
        </w:rPr>
        <w:t xml:space="preserve">Hourly remote employees must continue to clock in/out accurately using the mobile or web time-tracking tool. Time records for remote hourly employees are subject to the same audit standards as on-site employees.</w:t>
      </w:r>
    </w:p>
    <w:p>
      <w:pPr>
        <w:pStyle w:val="Heading1"/>
        <w:pBdr>
          <w:bottom w:val="single" w:color="1D6A72" w:sz="8" w:space="4"/>
        </w:pBdr>
        <w:spacing w:after="180" w:before="440"/>
      </w:pPr>
      <w:r>
        <w:rPr>
          <w:rFonts w:ascii="Arial" w:cs="Arial" w:eastAsia="Arial" w:hAnsi="Arial"/>
          <w:b/>
          <w:bCs/>
          <w:color w:val="1B2A4A"/>
          <w:sz w:val="28"/>
          <w:szCs w:val="28"/>
        </w:rPr>
        <w:t xml:space="preserve">12.  Progressive Discipline for Attendance Violations</w:t>
      </w:r>
    </w:p>
    <w:p>
      <w:pPr>
        <w:spacing w:after="120"/>
      </w:pPr>
      <w:r>
        <w:rPr>
          <w:rFonts w:ascii="Arial" w:cs="Arial" w:eastAsia="Arial" w:hAnsi="Arial"/>
          <w:color w:val="222222"/>
          <w:sz w:val="22"/>
          <w:szCs w:val="22"/>
        </w:rPr>
        <w:t xml:space="preserve">Attendance and punctuality violations are addressed through the Company's standard progressive discipline process. The following is a general framework; the specific step applied depends on the severity and frequency of the violation.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700"/>
        <w:gridCol w:w="16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Trigger</w:t>
            </w:r>
          </w:p>
        </w:tc>
        <w:tc>
          <w:tcPr>
            <w:tcW w:type="dxa" w:w="270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Action</w:t>
            </w:r>
          </w:p>
        </w:tc>
        <w:tc>
          <w:tcPr>
            <w:tcW w:type="dxa" w:w="166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HR Involvement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1 — Informal Discussion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First instance of tardiness or unexcused absence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Manager verbal discussion; notes in manager's file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Optional</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2 — Verbal Warning</w:t>
            </w:r>
          </w:p>
        </w:tc>
        <w:tc>
          <w:tcPr>
            <w:tcW w:type="dxa" w:w="32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Second offense or pattern within 30 days</w:t>
            </w:r>
          </w:p>
        </w:tc>
        <w:tc>
          <w:tcPr>
            <w:tcW w:type="dxa" w:w="27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Formal verbal warning; documented in HRMS</w:t>
            </w:r>
          </w:p>
        </w:tc>
        <w:tc>
          <w:tcPr>
            <w:tcW w:type="dxa" w:w="16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Recommended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3 — Written Warning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Third offense or two NCNS incidents in 12 months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Written warning; employee signs acknowledgment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Required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4 — Final Warning / Suspension</w:t>
            </w:r>
          </w:p>
        </w:tc>
        <w:tc>
          <w:tcPr>
            <w:tcW w:type="dxa" w:w="32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Fourth offense; 3 NCNS in 12 months; or first offense of job abandonment attempt</w:t>
            </w:r>
          </w:p>
        </w:tc>
        <w:tc>
          <w:tcPr>
            <w:tcW w:type="dxa" w:w="27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Final written warning or 1–3 day unpaid suspension</w:t>
            </w:r>
          </w:p>
        </w:tc>
        <w:tc>
          <w:tcPr>
            <w:tcW w:type="dxa" w:w="16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5 — Termination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Continued violations after final warning; third NCNS; confirmed job abandonment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Employment terminated; HR issues formal separation docs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Required</w:t>
            </w:r>
          </w:p>
        </w:tc>
      </w:tr>
    </w:tbl>
    <w:p>
      <w:pPr>
        <w:spacing w:after="160"/>
      </w:pPr>
    </w:p>
    <w:p>
      <w:pPr>
        <w:spacing w:after="120"/>
      </w:pPr>
      <w:r>
        <w:rPr>
          <w:rFonts w:ascii="Arial" w:cs="Arial" w:eastAsia="Arial" w:hAnsi="Arial"/>
          <w:color w:val="222222"/>
          <w:sz w:val="22"/>
          <w:szCs w:val="22"/>
        </w:rPr>
        <w:t xml:space="preserve">The Company reserves the right to skip steps based on the severity of the violation. HR must be consulted before any suspension or termination is executed. Attendance discipline records are maintained in the employee's file for a rolling 12-month period; after 12 months without further violations, prior warnings may no longer be considered in new disciplinary decisions.</w:t>
      </w:r>
    </w:p>
    <w:p>
      <w:pPr>
        <w:pStyle w:val="Heading1"/>
        <w:pBdr>
          <w:bottom w:val="single" w:color="1D6A72" w:sz="8" w:space="4"/>
        </w:pBdr>
        <w:spacing w:after="180" w:before="440"/>
      </w:pPr>
      <w:r>
        <w:rPr>
          <w:rFonts w:ascii="Arial" w:cs="Arial" w:eastAsia="Arial" w:hAnsi="Arial"/>
          <w:b/>
          <w:bCs/>
          <w:color w:val="1B2A4A"/>
          <w:sz w:val="28"/>
          <w:szCs w:val="28"/>
        </w:rPr>
        <w:t xml:space="preserve">13.  Return to Work After Leave</w:t>
      </w:r>
    </w:p>
    <w:p>
      <w:pPr>
        <w:pStyle w:val="Heading2"/>
        <w:spacing w:after="120" w:before="300"/>
      </w:pPr>
      <w:r>
        <w:rPr>
          <w:rFonts w:ascii="Arial" w:cs="Arial" w:eastAsia="Arial" w:hAnsi="Arial"/>
          <w:b/>
          <w:bCs/>
          <w:color w:val="1D6A72"/>
          <w:sz w:val="24"/>
          <w:szCs w:val="24"/>
        </w:rPr>
        <w:t xml:space="preserve">13.1  Standard Return</w:t>
      </w:r>
    </w:p>
    <w:p>
      <w:pPr>
        <w:spacing w:after="120"/>
      </w:pPr>
      <w:r>
        <w:rPr>
          <w:rFonts w:ascii="Arial" w:cs="Arial" w:eastAsia="Arial" w:hAnsi="Arial"/>
          <w:color w:val="222222"/>
          <w:sz w:val="22"/>
          <w:szCs w:val="22"/>
        </w:rPr>
        <w:t xml:space="preserve">Employees returning from approved leave are expected to return on the date specified in the approved leave request. If the return date changes, the employee must notify HR and their manager as soon as possible.</w:t>
      </w:r>
    </w:p>
    <w:p>
      <w:pPr>
        <w:pStyle w:val="Heading2"/>
        <w:spacing w:after="120" w:before="300"/>
      </w:pPr>
      <w:r>
        <w:rPr>
          <w:rFonts w:ascii="Arial" w:cs="Arial" w:eastAsia="Arial" w:hAnsi="Arial"/>
          <w:b/>
          <w:bCs/>
          <w:color w:val="1D6A72"/>
          <w:sz w:val="24"/>
          <w:szCs w:val="24"/>
        </w:rPr>
        <w:t xml:space="preserve">13.2  Return After Extended Medical Leave</w:t>
      </w:r>
    </w:p>
    <w:p>
      <w:pPr>
        <w:spacing w:after="120"/>
      </w:pPr>
      <w:r>
        <w:rPr>
          <w:rFonts w:ascii="Arial" w:cs="Arial" w:eastAsia="Arial" w:hAnsi="Arial"/>
          <w:color w:val="222222"/>
          <w:sz w:val="22"/>
          <w:szCs w:val="22"/>
        </w:rPr>
        <w:t xml:space="preserve">Employees returning from a leave of 10 or more consecutive business days for a medical reason may be required to provide a fitness-for-duty certification from their healthcare provider confirming they are able to return to work and perform their essential job functions. HR will provide Form RTW-001 (Return to Work Clearance) for this purpose.</w:t>
      </w:r>
    </w:p>
    <w:p>
      <w:pPr>
        <w:spacing w:after="120"/>
      </w:pPr>
      <w:r>
        <w:rPr>
          <w:rFonts w:ascii="Arial" w:cs="Arial" w:eastAsia="Arial" w:hAnsi="Arial"/>
          <w:color w:val="222222"/>
          <w:sz w:val="22"/>
          <w:szCs w:val="22"/>
        </w:rPr>
        <w:t xml:space="preserve">If the employee cannot return to full duty, the Company will engage in the interactive accommodation process (see Medical Accommodation Policy) before making any employment decisions.</w:t>
      </w:r>
    </w:p>
    <w:p>
      <w:pPr>
        <w:pStyle w:val="Heading2"/>
        <w:spacing w:after="120" w:before="300"/>
      </w:pPr>
      <w:r>
        <w:rPr>
          <w:rFonts w:ascii="Arial" w:cs="Arial" w:eastAsia="Arial" w:hAnsi="Arial"/>
          <w:b/>
          <w:bCs/>
          <w:color w:val="1D6A72"/>
          <w:sz w:val="24"/>
          <w:szCs w:val="24"/>
        </w:rPr>
        <w:t xml:space="preserve">13.3  Phased Return</w:t>
      </w:r>
    </w:p>
    <w:p>
      <w:pPr>
        <w:spacing w:after="120"/>
      </w:pPr>
      <w:r>
        <w:rPr>
          <w:rFonts w:ascii="Arial" w:cs="Arial" w:eastAsia="Arial" w:hAnsi="Arial"/>
          <w:color w:val="222222"/>
          <w:sz w:val="22"/>
          <w:szCs w:val="22"/>
        </w:rPr>
        <w:t xml:space="preserve">Employees who need a gradual return to full duties following a medical leave may request a phased return-to-work plan. This is evaluated through the Medical Accommodation Policy process and requires HR approval. Phased return arrangements typically last no longer than 4–8 weeks.</w:t>
      </w:r>
    </w:p>
    <w:p>
      <w:pPr>
        <w:pBdr>
          <w:left w:val="single" w:color="2D7A3A" w:sz="24"/>
        </w:pBdr>
        <w:shd w:fill="F0F9F0" w:val="clear"/>
        <w:spacing w:after="160" w:before="60"/>
        <w:ind w:left="280" w:right="280"/>
      </w:pPr>
      <w:r>
        <w:rPr>
          <w:rFonts w:ascii="Arial" w:cs="Arial" w:eastAsia="Arial" w:hAnsi="Arial"/>
          <w:b/>
          <w:bCs/>
          <w:color w:val="2D7A3A"/>
          <w:sz w:val="21"/>
          <w:szCs w:val="21"/>
        </w:rPr>
        <w:t xml:space="preserve">HOURLY EMPLOYEES: </w:t>
      </w:r>
      <w:r>
        <w:rPr>
          <w:rFonts w:ascii="Arial" w:cs="Arial" w:eastAsia="Arial" w:hAnsi="Arial"/>
          <w:sz w:val="21"/>
          <w:szCs w:val="21"/>
        </w:rPr>
        <w:t xml:space="preserve">Hourly employees on a phased return are paid only for hours actually worked during the transition period. If the phased schedule reduces hours below full-time, eligibility for certain benefits may be temporarily affected. HR will advise on an individual basis.</w:t>
      </w:r>
    </w:p>
    <w:p>
      <w:pPr>
        <w:pStyle w:val="Heading1"/>
        <w:pBdr>
          <w:bottom w:val="single" w:color="1D6A72" w:sz="8" w:space="4"/>
        </w:pBdr>
        <w:spacing w:after="180" w:before="440"/>
      </w:pPr>
      <w:r>
        <w:rPr>
          <w:rFonts w:ascii="Arial" w:cs="Arial" w:eastAsia="Arial" w:hAnsi="Arial"/>
          <w:b/>
          <w:bCs/>
          <w:color w:val="1B2A4A"/>
          <w:sz w:val="28"/>
          <w:szCs w:val="28"/>
        </w:rPr>
        <w:t xml:space="preserve">14.  Leave Records &amp; Privacy</w:t>
      </w:r>
    </w:p>
    <w:p>
      <w:pPr>
        <w:pStyle w:val="ListParagraph"/>
        <w:numPr>
          <w:ilvl w:val="0"/>
          <w:numId w:val="2"/>
        </w:numPr>
        <w:spacing w:after="80"/>
      </w:pPr>
      <w:r>
        <w:rPr>
          <w:rFonts w:ascii="Arial" w:cs="Arial" w:eastAsia="Arial" w:hAnsi="Arial"/>
          <w:sz w:val="22"/>
          <w:szCs w:val="22"/>
        </w:rPr>
        <w:t xml:space="preserve">All leave records are maintained in the HRMS and are accessible to the employee, their direct manager (for operational purposes), and HR</w:t>
      </w:r>
    </w:p>
    <w:p>
      <w:pPr>
        <w:pStyle w:val="ListParagraph"/>
        <w:numPr>
          <w:ilvl w:val="0"/>
          <w:numId w:val="2"/>
        </w:numPr>
        <w:spacing w:after="80"/>
      </w:pPr>
      <w:r>
        <w:rPr>
          <w:rFonts w:ascii="Arial" w:cs="Arial" w:eastAsia="Arial" w:hAnsi="Arial"/>
          <w:sz w:val="22"/>
          <w:szCs w:val="22"/>
        </w:rPr>
        <w:t xml:space="preserve">Medical documentation supporting sick leave or accommodation requests is stored separately in a secured medical file, not in the general personnel file, and is accessible only to HR</w:t>
      </w:r>
    </w:p>
    <w:p>
      <w:pPr>
        <w:pStyle w:val="ListParagraph"/>
        <w:numPr>
          <w:ilvl w:val="0"/>
          <w:numId w:val="2"/>
        </w:numPr>
        <w:spacing w:after="80"/>
      </w:pPr>
      <w:r>
        <w:rPr>
          <w:rFonts w:ascii="Arial" w:cs="Arial" w:eastAsia="Arial" w:hAnsi="Arial"/>
          <w:sz w:val="22"/>
          <w:szCs w:val="22"/>
        </w:rPr>
        <w:t xml:space="preserve">Leave balance information is available to employees at all times through the HRMS self-service portal</w:t>
      </w:r>
    </w:p>
    <w:p>
      <w:pPr>
        <w:pStyle w:val="ListParagraph"/>
        <w:numPr>
          <w:ilvl w:val="0"/>
          <w:numId w:val="2"/>
        </w:numPr>
        <w:spacing w:after="80"/>
      </w:pPr>
      <w:r>
        <w:rPr>
          <w:rFonts w:ascii="Arial" w:cs="Arial" w:eastAsia="Arial" w:hAnsi="Arial"/>
          <w:sz w:val="22"/>
          <w:szCs w:val="22"/>
        </w:rPr>
        <w:t xml:space="preserve">Managers are informed only of the fact, duration, and approved nature of a leave — not the underlying medical reason unless the employee voluntarily discloses it</w:t>
      </w:r>
    </w:p>
    <w:p>
      <w:pPr>
        <w:pStyle w:val="ListParagraph"/>
        <w:numPr>
          <w:ilvl w:val="0"/>
          <w:numId w:val="2"/>
        </w:numPr>
        <w:spacing w:after="80"/>
      </w:pPr>
      <w:r>
        <w:rPr>
          <w:rFonts w:ascii="Arial" w:cs="Arial" w:eastAsia="Arial" w:hAnsi="Arial"/>
          <w:sz w:val="22"/>
          <w:szCs w:val="22"/>
        </w:rPr>
        <w:t xml:space="preserve">Leave records are retained for a minimum of 7 years in accordance with applicable recordkeeping requirements</w:t>
      </w:r>
    </w:p>
    <w:p>
      <w:pPr>
        <w:pStyle w:val="Heading1"/>
        <w:pBdr>
          <w:bottom w:val="single" w:color="1D6A72" w:sz="8" w:space="4"/>
        </w:pBdr>
        <w:spacing w:after="180" w:before="440"/>
      </w:pPr>
      <w:r>
        <w:rPr>
          <w:rFonts w:ascii="Arial" w:cs="Arial" w:eastAsia="Arial" w:hAnsi="Arial"/>
          <w:b/>
          <w:bCs/>
          <w:color w:val="1B2A4A"/>
          <w:sz w:val="28"/>
          <w:szCs w:val="28"/>
        </w:rPr>
        <w:t xml:space="preserve">15.  Employee Responsibilities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Responsibility</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Salaried Employees</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30"/>
              <w:bottom w:type="dxa" w:w="100"/>
              <w:right w:type="dxa" w:w="130"/>
            </w:tcMar>
          </w:tcPr>
          <w:p>
            <w:r>
              <w:rPr>
                <w:rFonts w:ascii="Arial" w:cs="Arial" w:eastAsia="Arial" w:hAnsi="Arial"/>
                <w:b/>
                <w:bCs/>
                <w:color w:val="FFFFFF"/>
                <w:sz w:val="20"/>
                <w:szCs w:val="20"/>
              </w:rPr>
              <w:t xml:space="preserve">Hourly Employees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Report absences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Before scheduled start time via phone/text to manager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Before shift start; follow department call-out procedure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Submit leave in HRMS</w:t>
            </w:r>
          </w:p>
        </w:tc>
        <w:tc>
          <w:tcPr>
            <w:tcW w:type="dxa" w:w="32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Same day if possible; next business day at latest</w:t>
            </w:r>
          </w:p>
        </w:tc>
        <w:tc>
          <w:tcPr>
            <w:tcW w:type="dxa" w:w="32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Same day; also update time-tracking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Track 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Record all leave (PTO, sick, partial days) in HRMS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Clock in/out every shift; record all leave in HRMS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Doctor's note</w:t>
            </w:r>
          </w:p>
        </w:tc>
        <w:tc>
          <w:tcPr>
            <w:tcW w:type="dxa" w:w="32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After 3+ consecutive sick days</w:t>
            </w:r>
          </w:p>
        </w:tc>
        <w:tc>
          <w:tcPr>
            <w:tcW w:type="dxa" w:w="32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After 3+ consecutive sick days (state law may vary)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Advance notice for PTO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5 business days (1–3 days); 10 days (4+ days)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5 business days minimum; longer for multi-day absences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Payroll submission</w:t>
            </w:r>
          </w:p>
        </w:tc>
        <w:tc>
          <w:tcPr>
            <w:tcW w:type="dxa" w:w="32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Approve timesheet by payroll deadline</w:t>
            </w:r>
          </w:p>
        </w:tc>
        <w:tc>
          <w:tcPr>
            <w:tcW w:type="dxa" w:w="328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Submit and approve timecard by payroll deadline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Return from leave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On approved return date; notify if date changes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On approved return date; notify manager and update schedule</w:t>
            </w:r>
          </w:p>
        </w:tc>
      </w:tr>
    </w:tbl>
    <w:p>
      <w:pPr>
        <w:spacing w:after="160"/>
      </w:pPr>
    </w:p>
    <w:p>
      <w:pPr>
        <w:pStyle w:val="Heading1"/>
        <w:pBdr>
          <w:bottom w:val="single" w:color="1D6A72" w:sz="8" w:space="4"/>
        </w:pBdr>
        <w:spacing w:after="180" w:before="440"/>
      </w:pPr>
      <w:r>
        <w:rPr>
          <w:rFonts w:ascii="Arial" w:cs="Arial" w:eastAsia="Arial" w:hAnsi="Arial"/>
          <w:b/>
          <w:bCs/>
          <w:color w:val="1B2A4A"/>
          <w:sz w:val="28"/>
          <w:szCs w:val="28"/>
        </w:rPr>
        <w:t xml:space="preserve">16.  Manager Responsibilities Summary</w:t>
      </w:r>
    </w:p>
    <w:p>
      <w:pPr>
        <w:pStyle w:val="ListParagraph"/>
        <w:numPr>
          <w:ilvl w:val="0"/>
          <w:numId w:val="2"/>
        </w:numPr>
        <w:spacing w:after="80"/>
      </w:pPr>
      <w:r>
        <w:rPr>
          <w:rFonts w:ascii="Arial" w:cs="Arial" w:eastAsia="Arial" w:hAnsi="Arial"/>
          <w:sz w:val="22"/>
          <w:szCs w:val="22"/>
        </w:rPr>
        <w:t xml:space="preserve">Review and action leave requests within 2 business days of submission</w:t>
      </w:r>
    </w:p>
    <w:p>
      <w:pPr>
        <w:pStyle w:val="ListParagraph"/>
        <w:numPr>
          <w:ilvl w:val="0"/>
          <w:numId w:val="2"/>
        </w:numPr>
        <w:spacing w:after="80"/>
      </w:pPr>
      <w:r>
        <w:rPr>
          <w:rFonts w:ascii="Arial" w:cs="Arial" w:eastAsia="Arial" w:hAnsi="Arial"/>
          <w:sz w:val="22"/>
          <w:szCs w:val="22"/>
        </w:rPr>
        <w:t xml:space="preserve">Ensure team coverage is maintained when approving leave, particularly during peak periods</w:t>
      </w:r>
    </w:p>
    <w:p>
      <w:pPr>
        <w:pStyle w:val="ListParagraph"/>
        <w:numPr>
          <w:ilvl w:val="0"/>
          <w:numId w:val="2"/>
        </w:numPr>
        <w:spacing w:after="80"/>
      </w:pPr>
      <w:r>
        <w:rPr>
          <w:rFonts w:ascii="Arial" w:cs="Arial" w:eastAsia="Arial" w:hAnsi="Arial"/>
          <w:sz w:val="22"/>
          <w:szCs w:val="22"/>
        </w:rPr>
        <w:t xml:space="preserve">Document verbal conversations about attendance in the HRMS manager notes section</w:t>
      </w:r>
    </w:p>
    <w:p>
      <w:pPr>
        <w:pStyle w:val="ListParagraph"/>
        <w:numPr>
          <w:ilvl w:val="0"/>
          <w:numId w:val="2"/>
        </w:numPr>
        <w:spacing w:after="80"/>
      </w:pPr>
      <w:r>
        <w:rPr>
          <w:rFonts w:ascii="Arial" w:cs="Arial" w:eastAsia="Arial" w:hAnsi="Arial"/>
          <w:sz w:val="22"/>
          <w:szCs w:val="22"/>
        </w:rPr>
        <w:t xml:space="preserve">Never instruct hourly employees to work off the clock or alter time records</w:t>
      </w:r>
    </w:p>
    <w:p>
      <w:pPr>
        <w:pStyle w:val="ListParagraph"/>
        <w:numPr>
          <w:ilvl w:val="0"/>
          <w:numId w:val="2"/>
        </w:numPr>
        <w:spacing w:after="80"/>
      </w:pPr>
      <w:r>
        <w:rPr>
          <w:rFonts w:ascii="Arial" w:cs="Arial" w:eastAsia="Arial" w:hAnsi="Arial"/>
          <w:sz w:val="22"/>
          <w:szCs w:val="22"/>
        </w:rPr>
        <w:t xml:space="preserve">Contact HR before issuing any written warning, suspension, or termination related to attendance</w:t>
      </w:r>
    </w:p>
    <w:p>
      <w:pPr>
        <w:pStyle w:val="ListParagraph"/>
        <w:numPr>
          <w:ilvl w:val="0"/>
          <w:numId w:val="2"/>
        </w:numPr>
        <w:spacing w:after="80"/>
      </w:pPr>
      <w:r>
        <w:rPr>
          <w:rFonts w:ascii="Arial" w:cs="Arial" w:eastAsia="Arial" w:hAnsi="Arial"/>
          <w:sz w:val="22"/>
          <w:szCs w:val="22"/>
        </w:rPr>
        <w:t xml:space="preserve">Do not share employees' medical information with team members or other managers</w:t>
      </w:r>
    </w:p>
    <w:p>
      <w:pPr>
        <w:pStyle w:val="ListParagraph"/>
        <w:numPr>
          <w:ilvl w:val="0"/>
          <w:numId w:val="2"/>
        </w:numPr>
        <w:spacing w:after="80"/>
      </w:pPr>
      <w:r>
        <w:rPr>
          <w:rFonts w:ascii="Arial" w:cs="Arial" w:eastAsia="Arial" w:hAnsi="Arial"/>
          <w:sz w:val="22"/>
          <w:szCs w:val="22"/>
        </w:rPr>
        <w:t xml:space="preserve">Monitor leave balances and proactively encourage employees approaching accrual caps or year-end forfeitures to use their time</w:t>
      </w:r>
    </w:p>
    <w:p>
      <w:pPr>
        <w:pStyle w:val="ListParagraph"/>
        <w:numPr>
          <w:ilvl w:val="0"/>
          <w:numId w:val="2"/>
        </w:numPr>
        <w:spacing w:after="80"/>
      </w:pPr>
      <w:r>
        <w:rPr>
          <w:rFonts w:ascii="Arial" w:cs="Arial" w:eastAsia="Arial" w:hAnsi="Arial"/>
          <w:sz w:val="22"/>
          <w:szCs w:val="22"/>
        </w:rPr>
        <w:t xml:space="preserve">Apply attendance standards consistently across the team to avoid discrimination or favoritism claims</w:t>
      </w:r>
    </w:p>
    <w:p>
      <w:pPr>
        <w:pStyle w:val="Heading1"/>
        <w:pBdr>
          <w:bottom w:val="single" w:color="1D6A72" w:sz="8" w:space="4"/>
        </w:pBdr>
        <w:spacing w:after="180" w:before="440"/>
      </w:pPr>
      <w:r>
        <w:rPr>
          <w:rFonts w:ascii="Arial" w:cs="Arial" w:eastAsia="Arial" w:hAnsi="Arial"/>
          <w:b/>
          <w:bCs/>
          <w:color w:val="1B2A4A"/>
          <w:sz w:val="28"/>
          <w:szCs w:val="28"/>
        </w:rPr>
        <w:t xml:space="preserve">17.  Policy Review, Administration &amp; Contacts</w:t>
      </w:r>
    </w:p>
    <w:p>
      <w:pPr>
        <w:pStyle w:val="ListParagraph"/>
        <w:numPr>
          <w:ilvl w:val="0"/>
          <w:numId w:val="2"/>
        </w:numPr>
        <w:spacing w:after="80"/>
      </w:pPr>
      <w:r>
        <w:rPr>
          <w:rFonts w:ascii="Arial" w:cs="Arial" w:eastAsia="Arial" w:hAnsi="Arial"/>
          <w:sz w:val="22"/>
          <w:szCs w:val="22"/>
        </w:rPr>
        <w:t xml:space="preserve">This policy is reviewed annually by People Operations and updated to reflect changes in law, Company structure, or best practices</w:t>
      </w:r>
    </w:p>
    <w:p>
      <w:pPr>
        <w:pStyle w:val="ListParagraph"/>
        <w:numPr>
          <w:ilvl w:val="0"/>
          <w:numId w:val="2"/>
        </w:numPr>
        <w:spacing w:after="80"/>
      </w:pPr>
      <w:r>
        <w:rPr>
          <w:rFonts w:ascii="Arial" w:cs="Arial" w:eastAsia="Arial" w:hAnsi="Arial"/>
          <w:sz w:val="22"/>
          <w:szCs w:val="22"/>
        </w:rPr>
        <w:t xml:space="preserve">Material changes will be communicated via the HR portal and email at least 30 days before the effective date</w:t>
      </w:r>
    </w:p>
    <w:p>
      <w:pPr>
        <w:pStyle w:val="ListParagraph"/>
        <w:numPr>
          <w:ilvl w:val="0"/>
          <w:numId w:val="2"/>
        </w:numPr>
        <w:spacing w:after="80"/>
      </w:pPr>
      <w:r>
        <w:rPr>
          <w:rFonts w:ascii="Arial" w:cs="Arial" w:eastAsia="Arial" w:hAnsi="Arial"/>
          <w:sz w:val="22"/>
          <w:szCs w:val="22"/>
        </w:rPr>
        <w:t xml:space="preserve">In the event of a conflict between this policy and applicable law, the law governs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Topic</w:t>
            </w:r>
          </w:p>
        </w:tc>
        <w:tc>
          <w:tcPr>
            <w:tcW w:type="dxa" w:w="5860"/>
            <w:tcBorders>
              <w:top w:val="single" w:color="CCCCCC" w:sz="1"/>
              <w:left w:val="single" w:color="CCCCCC" w:sz="1"/>
              <w:bottom w:val="single" w:color="CCCCCC" w:sz="1"/>
              <w:right w:val="single" w:color="CCCCCC" w:sz="1"/>
            </w:tcBorders>
            <w:shd w:fill="1D6A72" w:val="clear"/>
            <w:tcMar>
              <w:top w:type="dxa" w:w="100"/>
              <w:left w:type="dxa" w:w="130"/>
              <w:bottom w:type="dxa" w:w="100"/>
              <w:right w:type="dxa" w:w="130"/>
            </w:tcMar>
          </w:tcPr>
          <w:p>
            <w:r>
              <w:rPr>
                <w:rFonts w:ascii="Arial" w:cs="Arial" w:eastAsia="Arial" w:hAnsi="Arial"/>
                <w:b/>
                <w:bCs/>
                <w:color w:val="FFFFFF"/>
                <w:sz w:val="20"/>
                <w:szCs w:val="20"/>
              </w:rPr>
              <w:t xml:space="preserve">Contact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General leave questions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People Operations: hr@company.com</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Sick leave / medical accommodations</w:t>
            </w:r>
          </w:p>
        </w:tc>
        <w:tc>
          <w:tcPr>
            <w:tcW w:type="dxa" w:w="58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accommodations@company.com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FMLA / extended leave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Your HR Business Partner</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Time &amp; attendance system issues</w:t>
            </w:r>
          </w:p>
        </w:tc>
        <w:tc>
          <w:tcPr>
            <w:tcW w:type="dxa" w:w="58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HRMS Support: hrms-help@company.com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Payroll discrepancies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22222"/>
                <w:sz w:val="20"/>
                <w:szCs w:val="20"/>
              </w:rPr>
              <w:t xml:space="preserve">Payroll: payroll@company.com</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Anonymous concerns / reporting</w:t>
            </w:r>
          </w:p>
        </w:tc>
        <w:tc>
          <w:tcPr>
            <w:tcW w:type="dxa" w:w="5860"/>
            <w:tcBorders>
              <w:top w:val="single" w:color="CCCCCC" w:sz="1"/>
              <w:left w:val="single" w:color="CCCCCC" w:sz="1"/>
              <w:bottom w:val="single" w:color="CCCCCC" w:sz="1"/>
              <w:right w:val="single" w:color="CCCCCC" w:sz="1"/>
            </w:tcBorders>
            <w:shd w:fill="F4F6F8" w:val="clear"/>
            <w:tcMar>
              <w:top w:type="dxa" w:w="80"/>
              <w:left w:type="dxa" w:w="130"/>
              <w:bottom w:type="dxa" w:w="80"/>
              <w:right w:type="dxa" w:w="130"/>
            </w:tcMar>
          </w:tcPr>
          <w:p>
            <w:r>
              <w:rPr>
                <w:rFonts w:ascii="Arial" w:cs="Arial" w:eastAsia="Arial" w:hAnsi="Arial"/>
                <w:b/>
                <w:bCs/>
                <w:color w:val="222222"/>
                <w:sz w:val="20"/>
                <w:szCs w:val="20"/>
              </w:rPr>
              <w:t xml:space="preserve">Ethics Hotline: ethics.company.com</w:t>
            </w:r>
          </w:p>
        </w:tc>
      </w:tr>
    </w:tbl>
    <w:p>
      <w:pPr>
        <w:spacing w:after="160"/>
      </w:pPr>
    </w:p>
    <w:p>
      <w:pPr>
        <w:pBdr>
          <w:top w:val="single" w:color="CCCCCC" w:sz="4"/>
        </w:pBdr>
        <w:spacing w:after="120" w:before="280"/>
      </w:pPr>
    </w:p>
    <w:p>
      <w:pPr>
        <w:spacing w:after="80"/>
        <w:jc w:val="center"/>
      </w:pPr>
      <w:r>
        <w:rPr>
          <w:rFonts w:ascii="Arial" w:cs="Arial" w:eastAsia="Arial" w:hAnsi="Arial"/>
          <w:b/>
          <w:bCs/>
          <w:color w:val="1B2A4A"/>
          <w:sz w:val="24"/>
          <w:szCs w:val="24"/>
        </w:rPr>
        <w:t xml:space="preserve">EMPLOYEE ACKNOWLEDGMENT</w:t>
      </w:r>
    </w:p>
    <w:p>
      <w:pPr>
        <w:spacing w:after="120"/>
      </w:pPr>
      <w:r>
        <w:rPr>
          <w:rFonts w:ascii="Arial" w:cs="Arial" w:eastAsia="Arial" w:hAnsi="Arial"/>
          <w:color w:val="222222"/>
          <w:sz w:val="22"/>
          <w:szCs w:val="22"/>
        </w:rPr>
        <w:t xml:space="preserve">By signing below, I confirm that I have received, read, and understood the Leave Accrual, Submission &amp; Attendance Policy. I understand the expectations that apply to my employee classification and agree to comply with them.</w:t>
      </w:r>
    </w:p>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600"/>
        <w:gridCol w:w="2400"/>
        <w:gridCol w:w="600"/>
        <w:gridCol w:w="1960"/>
      </w:tblGrid>
      <w:tr>
        <w:tc>
          <w:tcPr>
            <w:tcW w:type="dxa" w:w="3800"/>
            <w:tcBorders>
              <w:top w:val="single" w:color="CCCCCC" w:sz="1"/>
              <w:left w:val="none"/>
              <w:bottom w:val="none"/>
              <w:right w:val="none"/>
            </w:tcBorders>
          </w:tcPr>
          <w:p>
            <w:r>
              <w:rPr>
                <w:rFonts w:ascii="Arial" w:cs="Arial" w:eastAsia="Arial" w:hAnsi="Arial"/>
                <w:color w:val="666666"/>
                <w:sz w:val="20"/>
                <w:szCs w:val="20"/>
              </w:rPr>
              <w:t xml:space="preserve">Employee Signature</w:t>
            </w:r>
          </w:p>
        </w:tc>
        <w:tc>
          <w:tcPr>
            <w:tcW w:type="dxa" w:w="600"/>
            <w:tcBorders>
              <w:top w:val="none"/>
              <w:left w:val="none"/>
              <w:bottom w:val="none"/>
              <w:right w:val="none"/>
            </w:tcBorders>
          </w:tcPr>
          <w:p/>
        </w:tc>
        <w:tc>
          <w:tcPr>
            <w:tcW w:type="dxa" w:w="2400"/>
            <w:tcBorders>
              <w:top w:val="single" w:color="CCCCCC" w:sz="1"/>
              <w:left w:val="none"/>
              <w:bottom w:val="none"/>
              <w:right w:val="none"/>
            </w:tcBorders>
          </w:tcPr>
          <w:p>
            <w:r>
              <w:rPr>
                <w:rFonts w:ascii="Arial" w:cs="Arial" w:eastAsia="Arial" w:hAnsi="Arial"/>
                <w:color w:val="666666"/>
                <w:sz w:val="20"/>
                <w:szCs w:val="20"/>
              </w:rPr>
              <w:t xml:space="preserve">Printed Name</w:t>
            </w:r>
          </w:p>
        </w:tc>
        <w:tc>
          <w:tcPr>
            <w:tcW w:type="dxa" w:w="600"/>
            <w:tcBorders>
              <w:top w:val="none"/>
              <w:left w:val="none"/>
              <w:bottom w:val="none"/>
              <w:right w:val="none"/>
            </w:tcBorders>
          </w:tcPr>
          <w:p/>
        </w:tc>
        <w:tc>
          <w:tcPr>
            <w:tcW w:type="dxa" w:w="1960"/>
            <w:tcBorders>
              <w:top w:val="single" w:color="CCCCCC" w:sz="1"/>
              <w:left w:val="none"/>
              <w:bottom w:val="none"/>
              <w:right w:val="none"/>
            </w:tcBorders>
          </w:tcPr>
          <w:p>
            <w:r>
              <w:rPr>
                <w:rFonts w:ascii="Arial" w:cs="Arial" w:eastAsia="Arial" w:hAnsi="Arial"/>
                <w:color w:val="666666"/>
                <w:sz w:val="20"/>
                <w:szCs w:val="20"/>
              </w:rPr>
              <w:t xml:space="preserve">Date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Leave Accrual, Submission &amp; Attendance Policy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1D6A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2026-03-02T03:17:23.194Z</dcterms:created>
  <dcterms:modified xsi:type="dcterms:W3CDTF">2026-03-02T03:17:23.196Z</dcterms:modified>
</cp:coreProperties>
</file>

<file path=docProps/custom.xml><?xml version="1.0" encoding="utf-8"?>
<Properties xmlns="http://schemas.openxmlformats.org/officeDocument/2006/custom-properties" xmlns:vt="http://schemas.openxmlformats.org/officeDocument/2006/docPropsVTypes"/>
</file>