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SERVICES AGREEMENT</w:t>
      </w:r>
    </w:p>
    <w:p>
      <w:r>
        <w:t>This Agreement is made between Northwind Industries Pvt Ltd (the Buyer) and Globex Logistics Pvt Ltd (the Supplier) for freight and warehousing services.</w:t>
      </w:r>
    </w:p>
    <w:p>
      <w:pPr>
        <w:pStyle w:val="Heading1"/>
      </w:pPr>
      <w:r>
        <w:t>Article 1: Scope of Services</w:t>
      </w:r>
    </w:p>
    <w:p>
      <w:r>
        <w:t>The Supplier will provide road freight, warehousing and last-mile delivery services for the Buyer's plants as described in the annexed rate card.</w:t>
      </w:r>
    </w:p>
    <w:p>
      <w:pPr>
        <w:pStyle w:val="Heading1"/>
      </w:pPr>
      <w:r>
        <w:t>Article 2: Payment Terms</w:t>
      </w:r>
    </w:p>
    <w:p>
      <w:r>
        <w:t>The Supplier will invoice monthly. The Buyer pays each valid invoice within Net 30 days from the invoice date. Disputed amounts must be notified within 7 days and only the disputed part may be held back.</w:t>
      </w:r>
    </w:p>
    <w:p>
      <w:pPr>
        <w:pStyle w:val="Heading1"/>
      </w:pPr>
      <w:r>
        <w:t>Article 3: Service Levels and Penalties</w:t>
      </w:r>
    </w:p>
    <w:p>
      <w:r>
        <w:t>The Supplier guarantees 98% on-time delivery each month. For every full week of delay beyond the agreed date, a penalty of 2% of the monthly fee applies, capped at a maximum of 15% of the monthly fee.</w:t>
      </w:r>
    </w:p>
    <w:p>
      <w:pPr>
        <w:pStyle w:val="Heading1"/>
      </w:pPr>
      <w:r>
        <w:t>Article 4: Limitation of Liability</w:t>
      </w:r>
    </w:p>
    <w:p>
      <w:r>
        <w:t>The total liability of the Supplier under this Agreement is limited to the fees paid in the preceding 12 months. Neither party is liable for indirect or consequential losses.</w:t>
      </w:r>
    </w:p>
    <w:p>
      <w:pPr>
        <w:pStyle w:val="Heading1"/>
      </w:pPr>
      <w:r>
        <w:t>Article 5: Termination</w:t>
      </w:r>
    </w:p>
    <w:p>
      <w:r>
        <w:t>Either party may terminate this Agreement for convenience by giving 90 days' written notice. The Buyer may terminate immediately if the Supplier commits a material breach and does not fix it within 15 days.</w:t>
      </w:r>
    </w:p>
    <w:p>
      <w:pPr>
        <w:pStyle w:val="Heading1"/>
      </w:pPr>
      <w:r>
        <w:t>Article 6: Governing Law</w:t>
      </w:r>
    </w:p>
    <w:p>
      <w:r>
        <w:t>This Agreement is governed by the laws of India. The courts of Mumbai have exclusive jurisdiction over any dispute.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