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8d84f0daeeee462b" /><Relationship Type="http://schemas.openxmlformats.org/package/2006/relationships/metadata/core-properties" Target="/docProps/core.xml" Id="R3bd1ce39a4e54803" /><Relationship Type="http://schemas.openxmlformats.org/officeDocument/2006/relationships/extended-properties" Target="/docProps/app.xml" Id="R8a1e8ea30eb44843" /><Relationship Type="http://schemas.openxmlformats.org/officeDocument/2006/relationships/custom-properties" Target="/docProps/custom.xml" Id="R5bc4d2cd5bb94b8b"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60"/>
        <w:jc w:val="center"/>
      </w:pPr>
      <w:r>
        <w:rPr>
          <w:b/>
          <w:sz w:val="72"/>
        </w:rPr>
        <w:t xml:space="preserve">CyberNetAnalyzer</w:t>
      </w:r>
    </w:p>
    <w:p w14:paraId="00100002" w14:textId="00100003">
      <w:pPr>
        <w:pStyle w:val="Subtitle"/>
        <w:spacing w:after="120"/>
        <w:jc w:val="center"/>
      </w:pPr>
      <w:r>
        <w:rPr>
          <w:color w:val="444444"/>
          <w:sz w:val="32"/>
        </w:rPr>
        <w:t xml:space="preserve">Python Cybersecurity Network Analysis Tool</w:t>
      </w:r>
    </w:p>
    <w:p w14:paraId="00100004" w14:textId="00100005">
      <w:pPr>
        <w:spacing w:after="120"/>
        <w:jc w:val="center"/>
      </w:pPr>
      <w:r>
        <w:rPr>
          <w:color w:val="666666"/>
          <w:sz w:val="26"/>
        </w:rPr>
        <w:t xml:space="preserve">Project Report</w:t>
      </w:r>
    </w:p>
    <w:p w14:paraId="00100006" w14:textId="00100007">
      <w:pPr>
        <w:spacing w:after="80"/>
        <w:jc w:val="center"/>
      </w:pPr>
      <w:r>
        <w:rPr>
          <w:color w:val="555555"/>
          <w:sz w:val="22"/>
        </w:rPr>
        <w:t xml:space="preserve">Author: Chaudhari Priyansh</w:t>
      </w:r>
    </w:p>
    <w:p w14:paraId="00100008" w14:textId="00100009">
      <w:pPr>
        <w:spacing w:after="480"/>
        <w:jc w:val="center"/>
      </w:pPr>
      <w:r>
        <w:rPr>
          <w:color w:val="777777"/>
          <w:sz w:val="20"/>
        </w:rPr>
        <w:t xml:space="preserve">Language: Python 3.10+  |  GUI: Tkinter  |  Optional: Scapy 2.5+</w:t>
      </w:r>
    </w:p>
    <w:p w14:paraId="0010000A" w14:textId="0010000B">
      <w:pPr>
        <w:spacing w:after="720"/>
        <w:jc w:val="center"/>
      </w:pPr>
      <w:r>
        <w:rPr>
          <w:color w:val="993300"/>
          <w:sz w:val="20"/>
        </w:rPr>
        <w:t xml:space="preserve">Legal Notice: This tool is intended solely for authorized security testing and educational purposes. Unauthorized network scanning is illegal in most jurisdictions.</w:t>
      </w:r>
    </w:p>
    <w:p w14:paraId="0010013C" w14:textId="0010013D">
      <w:r>
        <w:fldChar w:fldCharType="begin"/>
      </w:r>
      <w:r>
        <w:instrText xml:space="preserve"> TOC \o "1-3" \h \u </w:instrText>
      </w:r>
      <w:r>
        <w:fldChar w:fldCharType="separate"/>
      </w:r>
      <w:r>
        <w:t xml:space="preserve">Update field to see table of contents</w:t>
      </w:r>
      <w:r>
        <w:fldChar w:fldCharType="end"/>
      </w:r>
    </w:p>
    <w:p w14:paraId="0010000C" w14:textId="0010000D">
      <w:pPr>
        <w:pStyle w:val="Heading1"/>
        <w:spacing w:before="360" w:after="120"/>
      </w:pPr>
      <w:r>
        <w:rPr>
          <w:b/>
        </w:rPr>
        <w:t xml:space="preserve">1. Project Overview</w:t>
      </w:r>
    </w:p>
    <w:p w14:paraId="0010000E" w14:textId="0010000F">
      <w:pPr>
        <w:spacing w:after="160"/>
      </w:pPr>
      <w:r>
        <w:rPr>
          <w:sz w:val="22"/>
        </w:rPr>
        <w:t xml:space="preserve">CyberNetAnalyzer is a Python-based desktop application for authorized network security analysis and education. It provides a complete workflow - from discovering live hosts in a CIDR range, through TCP port scanning and service identification, to risk-rated reporting and optional live traffic capture - all within a dark-themed Tkinter GUI.</w:t>
      </w:r>
    </w:p>
    <w:p w14:paraId="00100010" w14:textId="00100011">
      <w:pPr>
        <w:spacing w:after="160"/>
      </w:pPr>
      <w:r>
        <w:rPr>
          <w:sz w:val="22"/>
        </w:rPr>
        <w:t xml:space="preserve">The tool is designed with a strict ethical framework: every scan session requires explicit authorization confirmation, is capped at 1,024 hosts, uses only standard TCP connect techniques, and never attempts to exploit or authenticate against any discovered service. Risk findings are advisory labels based on port number alone and always require human analyst review.</w:t>
      </w:r>
    </w:p>
    <w:p w14:paraId="00100012" w14:textId="00100013">
      <w:pPr>
        <w:pStyle w:val="Heading1"/>
        <w:spacing w:before="360" w:after="120"/>
      </w:pPr>
      <w:r>
        <w:rPr>
          <w:b/>
        </w:rPr>
        <w:t xml:space="preserve">2. Features</w:t>
      </w:r>
    </w:p>
    <w:p w14:paraId="00100014" w14:textId="00100015">
      <w:pPr>
        <w:spacing w:after="120"/>
      </w:pPr>
      <w:r>
        <w:rPr>
          <w:sz w:val="22"/>
        </w:rPr>
        <w:t xml:space="preserve">The application delivers the following capabilities:</w:t>
      </w:r>
    </w:p>
    <w:p w14:paraId="00100016" w14:textId="00100017">
      <w:pPr>
        <w:numPr>
          <w:ilvl w:val="0"/>
          <w:numId w:val="1"/>
        </w:numPr>
        <w:spacing w:after="80"/>
      </w:pPr>
      <w:r>
        <w:rPr>
          <w:sz w:val="22"/>
        </w:rPr>
        <w:t xml:space="preserve">Network Host Discovery - ICMP ping with automatic TCP-probe fallback to identify live hosts, followed by reverse DNS hostname resolution.</w:t>
      </w:r>
    </w:p>
    <w:p w14:paraId="00100018" w14:textId="00100019">
      <w:pPr>
        <w:numPr>
          <w:ilvl w:val="0"/>
          <w:numId w:val="1"/>
        </w:numPr>
        <w:spacing w:after="80"/>
      </w:pPr>
      <w:r>
        <w:rPr>
          <w:sz w:val="22"/>
        </w:rPr>
        <w:t xml:space="preserve">TCP Port Scanning - Concurrent scanning of 65+ well-known ports using a ThreadPoolExecutor capped at 50 workers per host, with configurable custom port lists.</w:t>
      </w:r>
    </w:p>
    <w:p w14:paraId="0010001A" w14:textId="0010001B">
      <w:pPr>
        <w:numPr>
          <w:ilvl w:val="0"/>
          <w:numId w:val="1"/>
        </w:numPr>
        <w:spacing w:after="80"/>
      </w:pPr>
      <w:r>
        <w:rPr>
          <w:sz w:val="22"/>
        </w:rPr>
        <w:t xml:space="preserve">Service Identification - Maps open ports to human-readable service names via a built-in database of 65+ entries covering all common protocols.</w:t>
      </w:r>
    </w:p>
    <w:p w14:paraId="0010001C" w14:textId="0010001D">
      <w:pPr>
        <w:numPr>
          <w:ilvl w:val="0"/>
          <w:numId w:val="1"/>
        </w:numPr>
        <w:spacing w:after="80"/>
      </w:pPr>
      <w:r>
        <w:rPr>
          <w:sz w:val="22"/>
        </w:rPr>
        <w:t xml:space="preserve">Security Risk Assessment - Each open port is rated HIGH, MEDIUM, or LOW based on its historical exploitation risk, with a plain-English explanation and concrete remediation action.</w:t>
      </w:r>
    </w:p>
    <w:p w14:paraId="0010001E" w14:textId="0010001F">
      <w:pPr>
        <w:numPr>
          <w:ilvl w:val="0"/>
          <w:numId w:val="1"/>
        </w:numPr>
        <w:spacing w:after="80"/>
      </w:pPr>
      <w:r>
        <w:rPr>
          <w:sz w:val="22"/>
        </w:rPr>
        <w:t xml:space="preserve">Service Banner Grabbing - Optional collection of service banners to identify software versions and configurations.</w:t>
      </w:r>
    </w:p>
    <w:p w14:paraId="00100020" w14:textId="00100021">
      <w:pPr>
        <w:numPr>
          <w:ilvl w:val="0"/>
          <w:numId w:val="1"/>
        </w:numPr>
        <w:spacing w:after="80"/>
      </w:pPr>
      <w:r>
        <w:rPr>
          <w:sz w:val="22"/>
        </w:rPr>
        <w:t xml:space="preserve">Traffic Analysis - Scapy-powered live packet capture and pcap/pcapng file analysis with protocol breakdown, top talker lists, and port statistics.</w:t>
      </w:r>
    </w:p>
    <w:p w14:paraId="00100022" w14:textId="00100023">
      <w:pPr>
        <w:numPr>
          <w:ilvl w:val="0"/>
          <w:numId w:val="1"/>
        </w:numPr>
        <w:spacing w:after="80"/>
      </w:pPr>
      <w:r>
        <w:rPr>
          <w:sz w:val="22"/>
        </w:rPr>
        <w:t xml:space="preserve">Report Export - CSV export (machine-readable) and plain-text security report (human-readable) with consolidated remediation recommendations.</w:t>
      </w:r>
    </w:p>
    <w:p w14:paraId="00100024" w14:textId="00100025">
      <w:pPr>
        <w:numPr>
          <w:ilvl w:val="0"/>
          <w:numId w:val="1"/>
        </w:numPr>
        <w:spacing w:after="80"/>
      </w:pPr>
      <w:r>
        <w:rPr>
          <w:sz w:val="22"/>
        </w:rPr>
        <w:t xml:space="preserve">Sample Data - Built-in 6-host small-office LAN threat scenario with colour-coded HIGH/MEDIUM/LOW risk highlighting, loadable without a live scan.</w:t>
      </w:r>
    </w:p>
    <w:p w14:paraId="00100026" w14:textId="00100027">
      <w:pPr>
        <w:numPr>
          <w:ilvl w:val="0"/>
          <w:numId w:val="1"/>
        </w:numPr>
        <w:spacing w:after="160"/>
      </w:pPr>
      <w:r>
        <w:rPr>
          <w:sz w:val="22"/>
        </w:rPr>
        <w:t xml:space="preserve">Dark-Themed GUI - Tkinter interface with real-time activity log, indeterminate progress bar, colour-coded treeview, detail panel, and a four-tab notebook layout.</w:t>
      </w:r>
    </w:p>
    <w:p w14:paraId="00100028" w14:textId="00100029">
      <w:pPr>
        <w:pStyle w:val="Heading1"/>
        <w:spacing w:before="360" w:after="120"/>
      </w:pPr>
      <w:r>
        <w:rPr>
          <w:b/>
        </w:rPr>
        <w:t xml:space="preserve">3. Project Structure</w:t>
      </w:r>
    </w:p>
    <w:p w14:paraId="0010002A" w14:textId="0010002B">
      <w:pPr>
        <w:spacing w:after="160"/>
      </w:pPr>
      <w:r>
        <w:rPr>
          <w:sz w:val="22"/>
        </w:rPr>
        <w:t xml:space="preserve">The project is organised as a modular Python package. The GUI layer (app.py) is decoupled from the core logic modules, enabling independent testing and reuse.</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2C" w14:textId="0010002D">
            <w:r>
              <w:t xml:space="preserve">File / Folder</w:t>
            </w:r>
          </w:p>
        </w:tc>
        <w:tc>
          <w:p w14:paraId="0010002E" w14:textId="0010002F">
            <w:r>
              <w:t xml:space="preserve">Purpose</w:t>
            </w:r>
          </w:p>
        </w:tc>
      </w:tr>
      <w:tr>
        <w:trPr/>
        <w:tc>
          <w:p w14:paraId="00100030" w14:textId="00100031">
            <w:r>
              <w:t xml:space="preserve">app.py</w:t>
            </w:r>
          </w:p>
        </w:tc>
        <w:tc>
          <w:p w14:paraId="00100032" w14:textId="00100033">
            <w:r>
              <w:t xml:space="preserve">Main Tkinter GUI application and entry point</w:t>
            </w:r>
          </w:p>
        </w:tc>
      </w:tr>
      <w:tr>
        <w:trPr/>
        <w:tc>
          <w:p w14:paraId="00100034" w14:textId="00100035">
            <w:r>
              <w:t xml:space="preserve">core/__init__.py</w:t>
            </w:r>
          </w:p>
        </w:tc>
        <w:tc>
          <w:p w14:paraId="00100036" w14:textId="00100037">
            <w:r>
              <w:t xml:space="preserve">Package marker (empty)</w:t>
            </w:r>
          </w:p>
        </w:tc>
      </w:tr>
      <w:tr>
        <w:trPr/>
        <w:tc>
          <w:p w14:paraId="00100038" w14:textId="00100039">
            <w:r>
              <w:t xml:space="preserve">core/scanner.py</w:t>
            </w:r>
          </w:p>
        </w:tc>
        <w:tc>
          <w:p w14:paraId="0010003A" w14:textId="0010003B">
            <w:r>
              <w:t xml:space="preserve">Host discovery and TCP port scanning engine</w:t>
            </w:r>
          </w:p>
        </w:tc>
      </w:tr>
      <w:tr>
        <w:trPr/>
        <w:tc>
          <w:p w14:paraId="0010003C" w14:textId="0010003D">
            <w:r>
              <w:t xml:space="preserve">core/service_db.py</w:t>
            </w:r>
          </w:p>
        </w:tc>
        <w:tc>
          <w:p w14:paraId="0010003E" w14:textId="0010003F">
            <w:r>
              <w:t xml:space="preserve">Port-to-service names and risk assessment database</w:t>
            </w:r>
          </w:p>
        </w:tc>
      </w:tr>
      <w:tr>
        <w:trPr/>
        <w:tc>
          <w:p w14:paraId="00100040" w14:textId="00100041">
            <w:r>
              <w:t xml:space="preserve">core/traffic_analyzer.py</w:t>
            </w:r>
          </w:p>
        </w:tc>
        <w:tc>
          <w:p w14:paraId="00100042" w14:textId="00100043">
            <w:r>
              <w:t xml:space="preserve">Scapy-based live capture and pcap file analysis</w:t>
            </w:r>
          </w:p>
        </w:tc>
      </w:tr>
      <w:tr>
        <w:trPr/>
        <w:tc>
          <w:p w14:paraId="00100044" w14:textId="00100045">
            <w:r>
              <w:t xml:space="preserve">core/reporter.py</w:t>
            </w:r>
          </w:p>
        </w:tc>
        <w:tc>
          <w:p w14:paraId="00100046" w14:textId="00100047">
            <w:r>
              <w:t xml:space="preserve">CSV and plain-text report generation</w:t>
            </w:r>
          </w:p>
        </w:tc>
      </w:tr>
      <w:tr>
        <w:trPr/>
        <w:tc>
          <w:p w14:paraId="00100048" w14:textId="00100049">
            <w:r>
              <w:t xml:space="preserve">requirements.txt</w:t>
            </w:r>
          </w:p>
        </w:tc>
        <w:tc>
          <w:p w14:paraId="0010004A" w14:textId="0010004B">
            <w:r>
              <w:t xml:space="preserve">Dependency list (scapy optional)</w:t>
            </w:r>
          </w:p>
        </w:tc>
      </w:tr>
    </w:tbl>
    <w:p w14:paraId="0010004C" w14:textId="0010004D">
      <w:pPr>
        <w:pStyle w:val="Heading2"/>
        <w:spacing w:before="240" w:after="120"/>
      </w:pPr>
      <w:r>
        <w:rPr>
          <w:b/>
        </w:rPr>
        <w:t xml:space="preserve">3.1 Module Descriptions</w:t>
      </w:r>
    </w:p>
    <w:p w14:paraId="0010004E" w14:textId="0010004F">
      <w:pPr>
        <w:spacing w:after="120"/>
      </w:pPr>
      <w:r>
        <w:rPr>
          <w:sz w:val="22"/>
        </w:rPr>
        <w:t xml:space="preserve">app.py - Main entry point and Tkinter application class (App). Constructs the four-tab notebook UI, manages background threads for scan and capture operations, and dispatches results back to the GUI thread via root.after(). Contains the AuthDialog authorization gate and the Load Sample Data feature.</w:t>
      </w:r>
    </w:p>
    <w:p w14:paraId="00100050" w14:textId="00100051">
      <w:pPr>
        <w:spacing w:after="120"/>
      </w:pPr>
      <w:r>
        <w:rPr>
          <w:sz w:val="22"/>
        </w:rPr>
        <w:t xml:space="preserve">core/scanner.py - Network discovery and TCP port scanning. Implements resolve_targets() for CIDR parsing, ping and TCP-probe host discovery, concurrent port scanning via scan_port() / scan_host() / scan_network(), and optional banner grabbing. Defines the PortResult and HostResult dataclasses.</w:t>
      </w:r>
    </w:p>
    <w:p w14:paraId="00100052" w14:textId="00100053">
      <w:pPr>
        <w:spacing w:after="120"/>
      </w:pPr>
      <w:r>
        <w:rPr>
          <w:sz w:val="22"/>
        </w:rPr>
        <w:t xml:space="preserve">core/service_db.py - Static reference database. Contains COMMON_PORTS (65+ port-to-service-name mappings), RISK_DB (risk levels, explanations, and remediations for 25 high-profile ports), and DEFAULT_PORT_LIST. Exposes get_service_name() and get_risk() accessors.</w:t>
      </w:r>
    </w:p>
    <w:p w14:paraId="00100054" w14:textId="00100055">
      <w:pPr>
        <w:spacing w:after="120"/>
      </w:pPr>
      <w:r>
        <w:rPr>
          <w:sz w:val="22"/>
        </w:rPr>
        <w:t xml:space="preserve">core/traffic_analyzer.py - Optional Scapy-based traffic module. Guards the import with a try/except block and exposes SCAPY_AVAILABLE for the GUI. Implements analyse_pcap() for offline file analysis and capture_live() for real-time sniffing, producing TrafficSummary dataclasses with protocol stats, top talkers, and plain-English observations.</w:t>
      </w:r>
    </w:p>
    <w:p w14:paraId="00100056" w14:textId="00100057">
      <w:pPr>
        <w:spacing w:after="160"/>
      </w:pPr>
      <w:r>
        <w:rPr>
          <w:sz w:val="22"/>
        </w:rPr>
        <w:t xml:space="preserve">core/reporter.py - Report generation. Provides export_csv() (one row per open port with all risk metadata), generate_text_report() (narrative security report with consolidated recommendations), and save_all_reports() as a convenience wrapper.</w:t>
      </w:r>
    </w:p>
    <w:p w14:paraId="00100058" w14:textId="00100059">
      <w:pPr>
        <w:pStyle w:val="Heading1"/>
        <w:spacing w:before="360" w:after="120"/>
      </w:pPr>
      <w:r>
        <w:rPr>
          <w:b/>
        </w:rPr>
        <w:t xml:space="preserve">4. Architecture and Design</w:t>
      </w:r>
    </w:p>
    <w:p w14:paraId="0010005A" w14:textId="0010005B">
      <w:pPr>
        <w:pStyle w:val="Heading2"/>
        <w:spacing w:before="240" w:after="120"/>
      </w:pPr>
      <w:r>
        <w:rPr>
          <w:b/>
        </w:rPr>
        <w:t xml:space="preserve">4.1 Layered Architecture</w:t>
      </w:r>
    </w:p>
    <w:p w14:paraId="0010005C" w14:textId="0010005D">
      <w:pPr>
        <w:spacing w:after="120"/>
      </w:pPr>
      <w:r>
        <w:rPr>
          <w:sz w:val="22"/>
        </w:rPr>
        <w:t xml:space="preserve">The application follows a three-layer design that cleanly separates concerns:</w:t>
      </w:r>
    </w:p>
    <w:p w14:paraId="0010005E" w14:textId="0010005F">
      <w:pPr>
        <w:numPr>
          <w:ilvl w:val="0"/>
          <w:numId w:val="2"/>
        </w:numPr>
        <w:spacing w:after="80"/>
      </w:pPr>
      <w:r>
        <w:rPr>
          <w:sz w:val="22"/>
        </w:rPr>
        <w:t xml:space="preserve">Presentation Layer (app.py) - All Tkinter widgets, event handlers, and GUI state. Calls core APIs only through well-defined function calls and dataclass returns. Never performs I/O directly.</w:t>
      </w:r>
    </w:p>
    <w:p w14:paraId="00100060" w14:textId="00100061">
      <w:pPr>
        <w:numPr>
          <w:ilvl w:val="0"/>
          <w:numId w:val="2"/>
        </w:numPr>
        <w:spacing w:after="80"/>
      </w:pPr>
      <w:r>
        <w:rPr>
          <w:sz w:val="22"/>
        </w:rPr>
        <w:t xml:space="preserve">Core Logic Layer (core/) - Pure Python modules with no GUI dependencies. Each module is independently importable and testable via the command line.</w:t>
      </w:r>
    </w:p>
    <w:p w14:paraId="00100062" w14:textId="00100063">
      <w:pPr>
        <w:numPr>
          <w:ilvl w:val="0"/>
          <w:numId w:val="2"/>
        </w:numPr>
        <w:spacing w:after="120"/>
      </w:pPr>
      <w:r>
        <w:rPr>
          <w:sz w:val="22"/>
        </w:rPr>
        <w:t xml:space="preserve">Data Layer (service_db.py) - Static dictionaries containing the port-to-service and risk catalogues. Centralising this data makes it easy to extend without modifying scanning logic.</w:t>
      </w:r>
    </w:p>
    <w:p w14:paraId="00100064" w14:textId="00100065">
      <w:pPr>
        <w:pStyle w:val="Heading2"/>
        <w:spacing w:before="240" w:after="120"/>
      </w:pPr>
      <w:r>
        <w:rPr>
          <w:b/>
        </w:rPr>
        <w:t xml:space="preserve">4.2 Threading Model</w:t>
      </w:r>
    </w:p>
    <w:p w14:paraId="00100066" w14:textId="00100067">
      <w:pPr>
        <w:spacing w:after="120"/>
      </w:pPr>
      <w:r>
        <w:rPr>
          <w:sz w:val="22"/>
        </w:rPr>
        <w:t xml:space="preserve">All blocking operations run in daemon threads to keep the GUI responsive. Results are posted back to the main thread exclusively via root.after(), the only thread-safe method for Tkinter updates. A threading.Event cancel flag is shared between the GUI and worker threads to support graceful scan cancellation.</w:t>
      </w:r>
    </w:p>
    <w:p w14:paraId="00100068" w14:textId="00100069">
      <w:pPr>
        <w:spacing w:after="120"/>
      </w:pPr>
      <w:r>
        <w:rPr>
          <w:sz w:val="22"/>
        </w:rPr>
        <w:t xml:space="preserve">Port scanning within each host uses a concurrent.futures.ThreadPoolExecutor with a hard cap of MAX_WORKERS = 50 threads. Host discovery runs a parallel ping+TCP-probe phase, followed by a sequential per-host port scan to avoid flooding the network.</w:t>
      </w:r>
    </w:p>
    <w:p w14:paraId="0010006A" w14:textId="0010006B">
      <w:pPr>
        <w:pStyle w:val="Heading2"/>
        <w:spacing w:before="240" w:after="120"/>
      </w:pPr>
      <w:r>
        <w:rPr>
          <w:b/>
        </w:rPr>
        <w:t xml:space="preserve">4.3 Optional Dependency Handling</w:t>
      </w:r>
    </w:p>
    <w:p w14:paraId="0010006C" w14:textId="0010006D">
      <w:pPr>
        <w:spacing w:after="160"/>
      </w:pPr>
      <w:r>
        <w:rPr>
          <w:sz w:val="22"/>
        </w:rPr>
        <w:t xml:space="preserve">Scapy is imported inside a try/except block at module load time. The boolean SCAPY_AVAILABLE is exported so the GUI can conditionally enable the Traffic Analysis tab and display a clear install hint when Scapy is absent. This keeps the entire application functional without any optional dependencies installed.</w:t>
      </w:r>
    </w:p>
    <w:p w14:paraId="0010006E" w14:textId="0010006F">
      <w:pPr>
        <w:pStyle w:val="Heading1"/>
        <w:spacing w:before="360" w:after="120"/>
      </w:pPr>
      <w:r>
        <w:rPr>
          <w:b/>
        </w:rPr>
        <w:t xml:space="preserve">5. Risk Assessment Model</w:t>
      </w:r>
    </w:p>
    <w:p w14:paraId="00100070" w14:textId="00100071">
      <w:pPr>
        <w:spacing w:after="160"/>
      </w:pPr>
      <w:r>
        <w:rPr>
          <w:sz w:val="22"/>
        </w:rPr>
        <w:t xml:space="preserve">Risk ratings are assigned at the port level using the RISK_DB catalogue in core/service_db.py. Each entry carries four fields: level (HIGH / MEDIUM / LOW), label (short name), explanation (why the open port is a concern), and remediation (concrete action to take).</w:t>
      </w:r>
    </w:p>
    <w:p w14:paraId="00100072" w14:textId="00100073">
      <w:pPr>
        <w:pStyle w:val="Heading2"/>
        <w:spacing w:before="240" w:after="120"/>
      </w:pPr>
      <w:r>
        <w:rPr>
          <w:b/>
        </w:rPr>
        <w:t xml:space="preserve">5.1 HIGH Risk Ports</w:t>
      </w:r>
    </w:p>
    <w:p w14:paraId="00100074" w14:textId="00100075">
      <w:pPr>
        <w:spacing w:after="120"/>
      </w:pPr>
      <w:r>
        <w:rPr>
          <w:sz w:val="22"/>
        </w:rPr>
        <w:t xml:space="preserve">The following services are rated HIGH because they have been exploited in significant real-world incidents or transmit credentials in cleartext:</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76" w14:textId="00100077">
            <w:r>
              <w:t xml:space="preserve">Port</w:t>
            </w:r>
          </w:p>
        </w:tc>
        <w:tc>
          <w:p w14:paraId="00100078" w14:textId="00100079">
            <w:r>
              <w:t xml:space="preserve">Service</w:t>
            </w:r>
          </w:p>
        </w:tc>
        <w:tc>
          <w:p w14:paraId="0010007A" w14:textId="0010007B">
            <w:r>
              <w:t xml:space="preserve">Reason for HIGH rating</w:t>
            </w:r>
          </w:p>
        </w:tc>
      </w:tr>
      <w:tr>
        <w:trPr/>
        <w:tc>
          <w:p w14:paraId="0010007C" w14:textId="0010007D">
            <w:r>
              <w:t xml:space="preserve">21</w:t>
            </w:r>
          </w:p>
        </w:tc>
        <w:tc>
          <w:p w14:paraId="0010007E" w14:textId="0010007F">
            <w:r>
              <w:t xml:space="preserve">FTP</w:t>
            </w:r>
          </w:p>
        </w:tc>
        <w:tc>
          <w:p w14:paraId="00100080" w14:textId="00100081">
            <w:r>
              <w:t xml:space="preserve">Transmits credentials in cleartext; anonymous access common</w:t>
            </w:r>
          </w:p>
        </w:tc>
      </w:tr>
      <w:tr>
        <w:trPr/>
        <w:tc>
          <w:p w14:paraId="00100082" w14:textId="00100083">
            <w:r>
              <w:t xml:space="preserve">445</w:t>
            </w:r>
          </w:p>
        </w:tc>
        <w:tc>
          <w:p w14:paraId="00100084" w14:textId="00100085">
            <w:r>
              <w:t xml:space="preserve">SMB/CIFS</w:t>
            </w:r>
          </w:p>
        </w:tc>
        <w:tc>
          <w:p w14:paraId="00100086" w14:textId="00100087">
            <w:r>
              <w:t xml:space="preserve">EternalBlue / WannaCry exploit vector; SMBv1 still widely present</w:t>
            </w:r>
          </w:p>
        </w:tc>
      </w:tr>
      <w:tr>
        <w:trPr/>
        <w:tc>
          <w:p w14:paraId="00100088" w14:textId="00100089">
            <w:r>
              <w:t xml:space="preserve">2375</w:t>
            </w:r>
          </w:p>
        </w:tc>
        <w:tc>
          <w:p w14:paraId="0010008A" w14:textId="0010008B">
            <w:r>
              <w:t xml:space="preserve">Docker daemon</w:t>
            </w:r>
          </w:p>
        </w:tc>
        <w:tc>
          <w:p w14:paraId="0010008C" w14:textId="0010008D">
            <w:r>
              <w:t xml:space="preserve">Unauthenticated API grants root-equivalent host access</w:t>
            </w:r>
          </w:p>
        </w:tc>
      </w:tr>
      <w:tr>
        <w:trPr/>
        <w:tc>
          <w:p w14:paraId="0010008E" w14:textId="0010008F">
            <w:r>
              <w:t xml:space="preserve">3389</w:t>
            </w:r>
          </w:p>
        </w:tc>
        <w:tc>
          <w:p w14:paraId="00100090" w14:textId="00100091">
            <w:r>
              <w:t xml:space="preserve">RDP</w:t>
            </w:r>
          </w:p>
        </w:tc>
        <w:tc>
          <w:p w14:paraId="00100092" w14:textId="00100093">
            <w:r>
              <w:t xml:space="preserve">BlueKeep / DejaBlue; primary ransomware entry point</w:t>
            </w:r>
          </w:p>
        </w:tc>
      </w:tr>
      <w:tr>
        <w:trPr/>
        <w:tc>
          <w:p w14:paraId="00100094" w14:textId="00100095">
            <w:r>
              <w:t xml:space="preserve">5900</w:t>
            </w:r>
          </w:p>
        </w:tc>
        <w:tc>
          <w:p w14:paraId="00100096" w14:textId="00100097">
            <w:r>
              <w:t xml:space="preserve">VNC</w:t>
            </w:r>
          </w:p>
        </w:tc>
        <w:tc>
          <w:p w14:paraId="00100098" w14:textId="00100099">
            <w:r>
              <w:t xml:space="preserve">Weak or absent authentication; unencrypted by default</w:t>
            </w:r>
          </w:p>
        </w:tc>
      </w:tr>
      <w:tr>
        <w:trPr/>
        <w:tc>
          <w:p w14:paraId="0010009A" w14:textId="0010009B">
            <w:r>
              <w:t xml:space="preserve">6379</w:t>
            </w:r>
          </w:p>
        </w:tc>
        <w:tc>
          <w:p w14:paraId="0010009C" w14:textId="0010009D">
            <w:r>
              <w:t xml:space="preserve">Redis</w:t>
            </w:r>
          </w:p>
        </w:tc>
        <w:tc>
          <w:p w14:paraId="0010009E" w14:textId="0010009F">
            <w:r>
              <w:t xml:space="preserve">No authentication by default; allows arbitrary file writes</w:t>
            </w:r>
          </w:p>
        </w:tc>
      </w:tr>
      <w:tr>
        <w:trPr/>
        <w:tc>
          <w:p w14:paraId="001000A0" w14:textId="001000A1">
            <w:r>
              <w:t xml:space="preserve">9200</w:t>
            </w:r>
          </w:p>
        </w:tc>
        <w:tc>
          <w:p w14:paraId="001000A2" w14:textId="001000A3">
            <w:r>
              <w:t xml:space="preserve">Elasticsearch</w:t>
            </w:r>
          </w:p>
        </w:tc>
        <w:tc>
          <w:p w14:paraId="001000A4" w14:textId="001000A5">
            <w:r>
              <w:t xml:space="preserve">No authentication in older versions; exposes all indexed data</w:t>
            </w:r>
          </w:p>
        </w:tc>
      </w:tr>
      <w:tr>
        <w:trPr/>
        <w:tc>
          <w:p w14:paraId="001000A6" w14:textId="001000A7">
            <w:r>
              <w:t xml:space="preserve">11211</w:t>
            </w:r>
          </w:p>
        </w:tc>
        <w:tc>
          <w:p w14:paraId="001000A8" w14:textId="001000A9">
            <w:r>
              <w:t xml:space="preserve">Memcached</w:t>
            </w:r>
          </w:p>
        </w:tc>
        <w:tc>
          <w:p w14:paraId="001000AA" w14:textId="001000AB">
            <w:r>
              <w:t xml:space="preserve">No authentication; abused as UDP DDoS amplification reflector</w:t>
            </w:r>
          </w:p>
        </w:tc>
      </w:tr>
      <w:tr>
        <w:trPr/>
        <w:tc>
          <w:p w14:paraId="001000AC" w14:textId="001000AD">
            <w:r>
              <w:t xml:space="preserve">27017</w:t>
            </w:r>
          </w:p>
        </w:tc>
        <w:tc>
          <w:p w14:paraId="001000AE" w14:textId="001000AF">
            <w:r>
              <w:t xml:space="preserve">MongoDB</w:t>
            </w:r>
          </w:p>
        </w:tc>
        <w:tc>
          <w:p w14:paraId="001000B0" w14:textId="001000B1">
            <w:r>
              <w:t xml:space="preserve">No authentication by default in early versions; mass breaches</w:t>
            </w:r>
          </w:p>
        </w:tc>
      </w:tr>
      <w:tr>
        <w:trPr/>
        <w:tc>
          <w:p w14:paraId="001000B2" w14:textId="001000B3">
            <w:r>
              <w:t xml:space="preserve">10250</w:t>
            </w:r>
          </w:p>
        </w:tc>
        <w:tc>
          <w:p w14:paraId="001000B4" w14:textId="001000B5">
            <w:r>
              <w:t xml:space="preserve">Kubernetes kubelet</w:t>
            </w:r>
          </w:p>
        </w:tc>
        <w:tc>
          <w:p w14:paraId="001000B6" w14:textId="001000B7">
            <w:r>
              <w:t xml:space="preserve">Unauthenticated access allows container escape to host</w:t>
            </w:r>
          </w:p>
        </w:tc>
      </w:tr>
      <w:tr>
        <w:trPr/>
        <w:tc>
          <w:p w14:paraId="001000B8" w14:textId="001000B9">
            <w:r>
              <w:t xml:space="preserve">50070</w:t>
            </w:r>
          </w:p>
        </w:tc>
        <w:tc>
          <w:p w14:paraId="001000BA" w14:textId="001000BB">
            <w:r>
              <w:t xml:space="preserve">Hadoop NameNode</w:t>
            </w:r>
          </w:p>
        </w:tc>
        <w:tc>
          <w:p w14:paraId="001000BC" w14:textId="001000BD">
            <w:r>
              <w:t xml:space="preserve">Exposes HDFS filesystem; often no authentication on internal deployments</w:t>
            </w:r>
          </w:p>
        </w:tc>
      </w:tr>
    </w:tbl>
    <w:p w14:paraId="001000BE" w14:textId="001000BF">
      <w:pPr>
        <w:pStyle w:val="Heading2"/>
        <w:spacing w:before="240" w:after="120"/>
      </w:pPr>
      <w:r>
        <w:rPr>
          <w:b/>
        </w:rPr>
        <w:t xml:space="preserve">5.2 MEDIUM Risk Ports</w:t>
      </w:r>
    </w:p>
    <w:p w14:paraId="001000C0" w14:textId="001000C1">
      <w:pPr>
        <w:spacing w:after="160"/>
      </w:pPr>
      <w:r>
        <w:rPr>
          <w:sz w:val="22"/>
        </w:rPr>
        <w:t xml:space="preserve">MEDIUM-rated services represent elevated attack surface that warrants review: Telnet (23), TFTP (69), RPC portmapper (111), MS-RPC (135), NetBIOS SSN (139), SNMP v1/v2c (161), rsync (873), SOCKS proxy (1080), NFS (2049), MySQL/MariaDB (3306), PostgreSQL (5432), WinRM HTTP (5985), and Jupyter Notebook (8888).</w:t>
      </w:r>
    </w:p>
    <w:p w14:paraId="001000C2" w14:textId="001000C3">
      <w:pPr>
        <w:pStyle w:val="Heading1"/>
        <w:spacing w:before="360" w:after="120"/>
      </w:pPr>
      <w:r>
        <w:rPr>
          <w:b/>
        </w:rPr>
        <w:t xml:space="preserve">6. GUI Design</w:t>
      </w:r>
    </w:p>
    <w:p w14:paraId="001000C4" w14:textId="001000C5">
      <w:pPr>
        <w:spacing w:after="160"/>
      </w:pPr>
      <w:r>
        <w:rPr>
          <w:sz w:val="22"/>
        </w:rPr>
        <w:t xml:space="preserve">The interface uses a dark colour palette inspired by modern security tooling. The layout divides into a fixed-width left panel (controls) and an expanding right panel (tabbed results).</w:t>
      </w:r>
    </w:p>
    <w:p w14:paraId="001000C6" w14:textId="001000C7">
      <w:pPr>
        <w:pStyle w:val="Heading2"/>
        <w:spacing w:before="240" w:after="120"/>
      </w:pPr>
      <w:r>
        <w:rPr>
          <w:b/>
        </w:rPr>
        <w:t xml:space="preserve">6.1 Colour Palette</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C8" w14:textId="001000C9">
            <w:r>
              <w:t xml:space="preserve">Variable</w:t>
            </w:r>
          </w:p>
        </w:tc>
        <w:tc>
          <w:p w14:paraId="001000CA" w14:textId="001000CB">
            <w:r>
              <w:t xml:space="preserve">Hex Value</w:t>
            </w:r>
          </w:p>
        </w:tc>
        <w:tc>
          <w:p w14:paraId="001000CC" w14:textId="001000CD">
            <w:r>
              <w:t xml:space="preserve">Usage</w:t>
            </w:r>
          </w:p>
        </w:tc>
      </w:tr>
      <w:tr>
        <w:trPr/>
        <w:tc>
          <w:p w14:paraId="001000CE" w14:textId="001000CF">
            <w:r>
              <w:t xml:space="preserve">BG</w:t>
            </w:r>
          </w:p>
        </w:tc>
        <w:tc>
          <w:p w14:paraId="001000D0" w14:textId="001000D1">
            <w:r>
              <w:t xml:space="preserve">#1e1e2e</w:t>
            </w:r>
          </w:p>
        </w:tc>
        <w:tc>
          <w:p w14:paraId="001000D2" w14:textId="001000D3">
            <w:r>
              <w:t xml:space="preserve">Main window background</w:t>
            </w:r>
          </w:p>
        </w:tc>
      </w:tr>
      <w:tr>
        <w:trPr/>
        <w:tc>
          <w:p w14:paraId="001000D4" w14:textId="001000D5">
            <w:r>
              <w:t xml:space="preserve">BG2</w:t>
            </w:r>
          </w:p>
        </w:tc>
        <w:tc>
          <w:p w14:paraId="001000D6" w14:textId="001000D7">
            <w:r>
              <w:t xml:space="preserve">#2a2a3e</w:t>
            </w:r>
          </w:p>
        </w:tc>
        <w:tc>
          <w:p w14:paraId="001000D8" w14:textId="001000D9">
            <w:r>
              <w:t xml:space="preserve">Panel and widget background</w:t>
            </w:r>
          </w:p>
        </w:tc>
      </w:tr>
      <w:tr>
        <w:trPr/>
        <w:tc>
          <w:p w14:paraId="001000DA" w14:textId="001000DB">
            <w:r>
              <w:t xml:space="preserve">ACCENT</w:t>
            </w:r>
          </w:p>
        </w:tc>
        <w:tc>
          <w:p w14:paraId="001000DC" w14:textId="001000DD">
            <w:r>
              <w:t xml:space="preserve">#7c3aed</w:t>
            </w:r>
          </w:p>
        </w:tc>
        <w:tc>
          <w:p w14:paraId="001000DE" w14:textId="001000DF">
            <w:r>
              <w:t xml:space="preserve">Header bar, heading labels, selected tab</w:t>
            </w:r>
          </w:p>
        </w:tc>
      </w:tr>
      <w:tr>
        <w:trPr/>
        <w:tc>
          <w:p w14:paraId="001000E0" w14:textId="001000E1">
            <w:r>
              <w:t xml:space="preserve">FG</w:t>
            </w:r>
          </w:p>
        </w:tc>
        <w:tc>
          <w:p w14:paraId="001000E2" w14:textId="001000E3">
            <w:r>
              <w:t xml:space="preserve">#e2e8f0</w:t>
            </w:r>
          </w:p>
        </w:tc>
        <w:tc>
          <w:p w14:paraId="001000E4" w14:textId="001000E5">
            <w:r>
              <w:t xml:space="preserve">Primary text</w:t>
            </w:r>
          </w:p>
        </w:tc>
      </w:tr>
      <w:tr>
        <w:trPr/>
        <w:tc>
          <w:p w14:paraId="001000E6" w14:textId="001000E7">
            <w:r>
              <w:t xml:space="preserve">RED</w:t>
            </w:r>
          </w:p>
        </w:tc>
        <w:tc>
          <w:p w14:paraId="001000E8" w14:textId="001000E9">
            <w:r>
              <w:t xml:space="preserve">#ef4444</w:t>
            </w:r>
          </w:p>
        </w:tc>
        <w:tc>
          <w:p w14:paraId="001000EA" w14:textId="001000EB">
            <w:r>
              <w:t xml:space="preserve">HIGH risk row highlight</w:t>
            </w:r>
          </w:p>
        </w:tc>
      </w:tr>
      <w:tr>
        <w:trPr/>
        <w:tc>
          <w:p w14:paraId="001000EC" w14:textId="001000ED">
            <w:r>
              <w:t xml:space="preserve">YELLOW</w:t>
            </w:r>
          </w:p>
        </w:tc>
        <w:tc>
          <w:p w14:paraId="001000EE" w14:textId="001000EF">
            <w:r>
              <w:t xml:space="preserve">#f59e0b</w:t>
            </w:r>
          </w:p>
        </w:tc>
        <w:tc>
          <w:p w14:paraId="001000F0" w14:textId="001000F1">
            <w:r>
              <w:t xml:space="preserve">MEDIUM risk row highlight</w:t>
            </w:r>
          </w:p>
        </w:tc>
      </w:tr>
      <w:tr>
        <w:trPr/>
        <w:tc>
          <w:p w14:paraId="001000F2" w14:textId="001000F3">
            <w:r>
              <w:t xml:space="preserve">BLUE</w:t>
            </w:r>
          </w:p>
        </w:tc>
        <w:tc>
          <w:p w14:paraId="001000F4" w14:textId="001000F5">
            <w:r>
              <w:t xml:space="preserve">#3b82f6</w:t>
            </w:r>
          </w:p>
        </w:tc>
        <w:tc>
          <w:p w14:paraId="001000F6" w14:textId="001000F7">
            <w:r>
              <w:t xml:space="preserve">LOW risk row highlight / Export button</w:t>
            </w:r>
          </w:p>
        </w:tc>
      </w:tr>
      <w:tr>
        <w:trPr/>
        <w:tc>
          <w:p w14:paraId="001000F8" w14:textId="001000F9">
            <w:r>
              <w:t xml:space="preserve">GREEN</w:t>
            </w:r>
          </w:p>
        </w:tc>
        <w:tc>
          <w:p w14:paraId="001000FA" w14:textId="001000FB">
            <w:r>
              <w:t xml:space="preserve">#22c55e</w:t>
            </w:r>
          </w:p>
        </w:tc>
        <w:tc>
          <w:p w14:paraId="001000FC" w14:textId="001000FD">
            <w:r>
              <w:t xml:space="preserve">Start Scan button</w:t>
            </w:r>
          </w:p>
        </w:tc>
      </w:tr>
    </w:tbl>
    <w:p w14:paraId="001000FE" w14:textId="001000FF">
      <w:pPr>
        <w:pStyle w:val="Heading2"/>
        <w:spacing w:before="240" w:after="120"/>
      </w:pPr>
      <w:r>
        <w:rPr>
          <w:b/>
        </w:rPr>
        <w:t xml:space="preserve">6.2 Tab Layout</w:t>
      </w:r>
    </w:p>
    <w:p w14:paraId="00100100" w14:textId="00100101">
      <w:pPr>
        <w:numPr>
          <w:ilvl w:val="0"/>
          <w:numId w:val="3"/>
        </w:numPr>
        <w:spacing w:after="80"/>
      </w:pPr>
      <w:r>
        <w:rPr>
          <w:sz w:val="22"/>
        </w:rPr>
        <w:t xml:space="preserve">Scan Results - A Treeview showing one row per open port with columns: IP Address, Hostname, Port, Service, Risk, and Banner. Rows are colour-tagged: red for HIGH, yellow for MEDIUM, blue for LOW. Clicking any row populates the detail panel with the full explanation and remediation text.</w:t>
      </w:r>
    </w:p>
    <w:p w14:paraId="00100102" w14:textId="00100103">
      <w:pPr>
        <w:numPr>
          <w:ilvl w:val="0"/>
          <w:numId w:val="3"/>
        </w:numPr>
        <w:spacing w:after="80"/>
      </w:pPr>
      <w:r>
        <w:rPr>
          <w:sz w:val="22"/>
        </w:rPr>
        <w:t xml:space="preserve">Security Report - A scrollable plain-text pane rendering the full narrative report, including a per-host breakdown of risk-flagged ports and a consolidated recommendations section.</w:t>
      </w:r>
    </w:p>
    <w:p w14:paraId="00100104" w14:textId="00100105">
      <w:pPr>
        <w:numPr>
          <w:ilvl w:val="0"/>
          <w:numId w:val="3"/>
        </w:numPr>
        <w:spacing w:after="80"/>
      </w:pPr>
      <w:r>
        <w:rPr>
          <w:sz w:val="22"/>
        </w:rPr>
        <w:t xml:space="preserve">Traffic Analysis - Contains two sub-sections: pcap file analysis (browse + analyse) and live interface capture (interface dropdown, duration control, start/stop buttons).</w:t>
      </w:r>
    </w:p>
    <w:p w14:paraId="00100106" w14:textId="00100107">
      <w:pPr>
        <w:numPr>
          <w:ilvl w:val="0"/>
          <w:numId w:val="3"/>
        </w:numPr>
        <w:spacing w:after="160"/>
      </w:pPr>
      <w:r>
        <w:rPr>
          <w:sz w:val="22"/>
        </w:rPr>
        <w:t xml:space="preserve">About - Displays tool version, feature list, legal notice, dependency information, and security design principles.</w:t>
      </w:r>
    </w:p>
    <w:p w14:paraId="00100108" w14:textId="00100109">
      <w:pPr>
        <w:pStyle w:val="Heading1"/>
        <w:spacing w:before="360" w:after="120"/>
      </w:pPr>
      <w:r>
        <w:rPr>
          <w:b/>
        </w:rPr>
        <w:t xml:space="preserve">7. Sample Data Scenario</w:t>
      </w:r>
    </w:p>
    <w:p w14:paraId="0010010A" w14:textId="0010010B">
      <w:pPr>
        <w:spacing w:after="160"/>
      </w:pPr>
      <w:r>
        <w:rPr>
          <w:sz w:val="22"/>
        </w:rPr>
        <w:t xml:space="preserve">The built-in sample dataset simulates a small-office LAN with six hosts, covering a realistic cross-section of threat types. It can be loaded instantly via the Load Sample Data button without any live network access.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0C" w14:textId="0010010D">
            <w:r>
              <w:t xml:space="preserve">Host IP</w:t>
            </w:r>
          </w:p>
        </w:tc>
        <w:tc>
          <w:p w14:paraId="0010010E" w14:textId="0010010F">
            <w:r>
              <w:t xml:space="preserve">Hostname</w:t>
            </w:r>
          </w:p>
        </w:tc>
        <w:tc>
          <w:p w14:paraId="00100110" w14:textId="00100111">
            <w:r>
              <w:t xml:space="preserve">Key Threats</w:t>
            </w:r>
          </w:p>
        </w:tc>
      </w:tr>
      <w:tr>
        <w:trPr/>
        <w:tc>
          <w:p w14:paraId="00100112" w14:textId="00100113">
            <w:r>
              <w:t xml:space="preserve">192.168.1.1</w:t>
            </w:r>
          </w:p>
        </w:tc>
        <w:tc>
          <w:p w14:paraId="00100114" w14:textId="00100115">
            <w:r>
              <w:t xml:space="preserve">router.local</w:t>
            </w:r>
          </w:p>
        </w:tc>
        <w:tc>
          <w:p w14:paraId="00100116" w14:textId="00100117">
            <w:r>
              <w:t xml:space="preserve">Telnet admin (HIGH), SNMP v1 public community (HIGH), HTTP (MEDIUM)</w:t>
            </w:r>
          </w:p>
        </w:tc>
      </w:tr>
      <w:tr>
        <w:trPr/>
        <w:tc>
          <w:p w14:paraId="00100118" w14:textId="00100119">
            <w:r>
              <w:t xml:space="preserve">192.168.1.10</w:t>
            </w:r>
          </w:p>
        </w:tc>
        <w:tc>
          <w:p w14:paraId="0010011A" w14:textId="0010011B">
            <w:r>
              <w:t xml:space="preserve">fileserver.local</w:t>
            </w:r>
          </w:p>
        </w:tc>
        <w:tc>
          <w:p w14:paraId="0010011C" w14:textId="0010011D">
            <w:r>
              <w:t xml:space="preserve">SMB/CIFS (HIGH), RDP (HIGH), MS-RPC (HIGH), NetBIOS (MEDIUM)</w:t>
            </w:r>
          </w:p>
        </w:tc>
      </w:tr>
      <w:tr>
        <w:trPr/>
        <w:tc>
          <w:p w14:paraId="0010011E" w14:textId="0010011F">
            <w:r>
              <w:t xml:space="preserve">192.168.1.20</w:t>
            </w:r>
          </w:p>
        </w:tc>
        <w:tc>
          <w:p w14:paraId="00100120" w14:textId="00100121">
            <w:r>
              <w:t xml:space="preserve">dbserver.local</w:t>
            </w:r>
          </w:p>
        </w:tc>
        <w:tc>
          <w:p w14:paraId="00100122" w14:textId="00100123">
            <w:r>
              <w:t xml:space="preserve">MySQL (MEDIUM), PostgreSQL (MEDIUM), Redis no-auth (HIGH), MongoDB (HIGH)</w:t>
            </w:r>
          </w:p>
        </w:tc>
      </w:tr>
      <w:tr>
        <w:trPr/>
        <w:tc>
          <w:p w14:paraId="00100124" w14:textId="00100125">
            <w:r>
              <w:t xml:space="preserve">192.168.1.30</w:t>
            </w:r>
          </w:p>
        </w:tc>
        <w:tc>
          <w:p w14:paraId="00100126" w14:textId="00100127">
            <w:r>
              <w:t xml:space="preserve">devbox.local</w:t>
            </w:r>
          </w:p>
        </w:tc>
        <w:tc>
          <w:p w14:paraId="00100128" w14:textId="00100129">
            <w:r>
              <w:t xml:space="preserve">Docker daemon port 2375 (HIGH), Jupyter Notebook (MEDIUM), dev HTTP (MEDIUM)</w:t>
            </w:r>
          </w:p>
        </w:tc>
      </w:tr>
      <w:tr>
        <w:trPr/>
        <w:tc>
          <w:p w14:paraId="0010012A" w14:textId="0010012B">
            <w:r>
              <w:t xml:space="preserve">192.168.1.40</w:t>
            </w:r>
          </w:p>
        </w:tc>
        <w:tc>
          <w:p w14:paraId="0010012C" w14:textId="0010012D">
            <w:r>
              <w:t xml:space="preserve">webserver.local</w:t>
            </w:r>
          </w:p>
        </w:tc>
        <w:tc>
          <w:p w14:paraId="0010012E" w14:textId="0010012F">
            <w:r>
              <w:t xml:space="preserve">Elasticsearch port 9200 (HIGH), HTTP (MEDIUM), Prometheus metrics (MEDIUM)</w:t>
            </w:r>
          </w:p>
        </w:tc>
      </w:tr>
      <w:tr>
        <w:trPr/>
        <w:tc>
          <w:p w14:paraId="00100130" w14:textId="00100131">
            <w:r>
              <w:t xml:space="preserve">192.168.1.50</w:t>
            </w:r>
          </w:p>
        </w:tc>
        <w:tc>
          <w:p w14:paraId="00100132" w14:textId="00100133">
            <w:r>
              <w:t xml:space="preserve">printer-iot.local</w:t>
            </w:r>
          </w:p>
        </w:tc>
        <w:tc>
          <w:p w14:paraId="00100134" w14:textId="00100135">
            <w:r>
              <w:t xml:space="preserve">FTP anonymous login (HIGH), Telnet (HIGH), SNMP v1 (MEDIUM)</w:t>
            </w:r>
          </w:p>
        </w:tc>
      </w:tr>
      <w:tr>
        <w:trPr/>
        <w:tc>
          <w:p w14:paraId="00100136" w14:textId="00100137">
            <w:r>
              <w:t xml:space="preserve">Totals</w:t>
            </w:r>
          </w:p>
        </w:tc>
        <w:tc>
          <w:p w14:paraId="00100138" w14:textId="00100139">
            <w:r>
              <w:t xml:space="preserve">6 hosts</w:t>
            </w:r>
          </w:p>
        </w:tc>
        <w:tc>
          <w:p w14:paraId="0010013A" w14:textId="0010013B">
            <w:r>
              <w:t xml:space="preserve">13 HIGH-risk ports, 9 MEDIUM-risk ports, 4 LOW-risk ports</w:t>
            </w:r>
          </w:p>
        </w:tc>
      </w:tr>
    </w:tbl>
    <w:p w14:paraId="0010013E" w14:textId="0010013F">
      <w:pPr>
        <w:pStyle w:val="Heading1"/>
        <w:spacing w:before="360" w:after="120"/>
      </w:pPr>
      <w:r>
        <w:rPr>
          <w:b/>
        </w:rPr>
        <w:t xml:space="preserve">8. Dependencies</w:t>
      </w:r>
    </w:p>
    <w:p w14:paraId="00100140" w14:textId="00100141">
      <w:pPr>
        <w:pStyle w:val="Heading2"/>
        <w:spacing w:before="240" w:after="120"/>
      </w:pPr>
      <w:r>
        <w:rPr>
          <w:b/>
        </w:rPr>
        <w:t xml:space="preserve">8.1 Required (Standard Library)</w:t>
      </w:r>
    </w:p>
    <w:p w14:paraId="00100142" w14:textId="00100143">
      <w:pPr>
        <w:spacing w:after="120"/>
      </w:pPr>
      <w:r>
        <w:rPr>
          <w:sz w:val="22"/>
        </w:rPr>
        <w:t xml:space="preserve">All required modules ship with CPython 3.10+ and need no installation: socket, ipaddress, subprocess, concurrent.futures, platform, time, csv, datetime, os, sys, threading, tkinter (+ ttk, scrolledtext, messagebox, filedialog), dataclasses, typing, and collections. On minimal Linux distributions, tkinter may need to be installed separately (sudo apt install python3-tk).</w:t>
      </w:r>
    </w:p>
    <w:p w14:paraId="00100144" w14:textId="00100145">
      <w:pPr>
        <w:pStyle w:val="Heading2"/>
        <w:spacing w:before="240" w:after="120"/>
      </w:pPr>
      <w:r>
        <w:rPr>
          <w:b/>
        </w:rPr>
        <w:t xml:space="preserve">8.2 Optional (Traffic Analysis)</w:t>
      </w:r>
    </w:p>
    <w:p w14:paraId="00100146" w14:textId="00100147">
      <w:pPr>
        <w:spacing w:after="160"/>
      </w:pPr>
      <w:r>
        <w:rPr>
          <w:sz w:val="22"/>
        </w:rPr>
        <w:t xml:space="preserve">scapy &gt;= 2.5.0 (pip install scapy) is required only for the Traffic Analysis tab. On Windows, Npcap must be installed before Scapy for live capture to work. On Linux, live capture requires root privileges or the cap_net_raw capability. On macOS, live capture requires root or a BPF device rule. Without Scapy, all scanning and reporting features remain fully functional.</w:t>
      </w:r>
    </w:p>
    <w:p w14:paraId="00100148" w14:textId="00100149">
      <w:pPr>
        <w:pStyle w:val="Heading1"/>
        <w:spacing w:before="360" w:after="120"/>
      </w:pPr>
      <w:r>
        <w:rPr>
          <w:b/>
        </w:rPr>
        <w:t xml:space="preserve">9. Installation and Usage</w:t>
      </w:r>
    </w:p>
    <w:p w14:paraId="0010014A" w14:textId="0010014B">
      <w:pPr>
        <w:pStyle w:val="Heading2"/>
        <w:spacing w:before="240" w:after="120"/>
      </w:pPr>
      <w:r>
        <w:rPr>
          <w:b/>
        </w:rPr>
        <w:t xml:space="preserve">9.1 Installation</w:t>
      </w:r>
    </w:p>
    <w:p w14:paraId="0010014C" w14:textId="0010014D">
      <w:pPr>
        <w:numPr>
          <w:ilvl w:val="0"/>
          <w:numId w:val="4"/>
        </w:numPr>
        <w:spacing w:after="80"/>
      </w:pPr>
      <w:r>
        <w:rPr>
          <w:sz w:val="22"/>
        </w:rPr>
        <w:t xml:space="preserve">Ensure Python 3.10 or later is installed.</w:t>
      </w:r>
    </w:p>
    <w:p w14:paraId="0010014E" w14:textId="0010014F">
      <w:pPr>
        <w:numPr>
          <w:ilvl w:val="0"/>
          <w:numId w:val="4"/>
        </w:numPr>
        <w:spacing w:after="80"/>
      </w:pPr>
      <w:r>
        <w:rPr>
          <w:sz w:val="22"/>
        </w:rPr>
        <w:t xml:space="preserve">Place the CyberNetAnalyzer/ folder anywhere on the machine.</w:t>
      </w:r>
    </w:p>
    <w:p w14:paraId="00100150" w14:textId="00100151">
      <w:pPr>
        <w:numPr>
          <w:ilvl w:val="0"/>
          <w:numId w:val="4"/>
        </w:numPr>
        <w:spacing w:after="80"/>
      </w:pPr>
      <w:r>
        <w:rPr>
          <w:sz w:val="22"/>
        </w:rPr>
        <w:t xml:space="preserve">(Optional) Create and activate a virtual environment: python -m venv venv then activate it.</w:t>
      </w:r>
    </w:p>
    <w:p w14:paraId="00100152" w14:textId="00100153">
      <w:pPr>
        <w:numPr>
          <w:ilvl w:val="0"/>
          <w:numId w:val="4"/>
        </w:numPr>
        <w:spacing w:after="80"/>
      </w:pPr>
      <w:r>
        <w:rPr>
          <w:sz w:val="22"/>
        </w:rPr>
        <w:t xml:space="preserve">(Optional) Install Scapy for traffic analysis: pip install scapy. Windows users must first install Npcap from https://npcap.com.</w:t>
      </w:r>
    </w:p>
    <w:p w14:paraId="00100154" w14:textId="00100155">
      <w:pPr>
        <w:numPr>
          <w:ilvl w:val="0"/>
          <w:numId w:val="4"/>
        </w:numPr>
        <w:spacing w:after="160"/>
      </w:pPr>
      <w:r>
        <w:rPr>
          <w:sz w:val="22"/>
        </w:rPr>
        <w:t xml:space="preserve">Launch the application: python app.py</w:t>
      </w:r>
    </w:p>
    <w:p w14:paraId="00100156" w14:textId="00100157">
      <w:pPr>
        <w:pStyle w:val="Heading2"/>
        <w:spacing w:before="240" w:after="120"/>
      </w:pPr>
      <w:r>
        <w:rPr>
          <w:b/>
        </w:rPr>
        <w:t xml:space="preserve">9.2 Performing a Scan</w:t>
      </w:r>
    </w:p>
    <w:p w14:paraId="00100158" w14:textId="00100159">
      <w:pPr>
        <w:spacing w:after="120"/>
      </w:pPr>
      <w:r>
        <w:rPr>
          <w:sz w:val="22"/>
        </w:rPr>
        <w:t xml:space="preserve">Enter a target (single IP, CIDR range, or comma-separated list) in the Target field. Optionally enable banner grabbing or a custom port list. Click Start Scan and confirm authorization in the dialog. Monitor progress in the Activity Log. Once complete, review findings in the Scan Results treeview, click any row for full threat detail, switch to the Security Report tab for the full narrative, and click Export Reports to save CSV and text files.</w:t>
      </w:r>
    </w:p>
    <w:p w14:paraId="0010015A" w14:textId="0010015B">
      <w:pPr>
        <w:pStyle w:val="Heading2"/>
        <w:spacing w:before="240" w:after="120"/>
      </w:pPr>
      <w:r>
        <w:rPr>
          <w:b/>
        </w:rPr>
        <w:t xml:space="preserve">9.3 Loading Sample Data</w:t>
      </w:r>
    </w:p>
    <w:p w14:paraId="0010015C" w14:textId="0010015D">
      <w:pPr>
        <w:spacing w:after="160"/>
      </w:pPr>
      <w:r>
        <w:rPr>
          <w:sz w:val="22"/>
        </w:rPr>
        <w:t xml:space="preserve">Click the Load Sample Data button in the Controls panel. The six-host threat scenario is immediately loaded into the Scan Results treeview and Security Report tab with full colour-coded threat highlighting. No network access or authorization is required.</w:t>
      </w:r>
    </w:p>
    <w:p w14:paraId="0010015E" w14:textId="0010015F">
      <w:pPr>
        <w:pStyle w:val="Heading1"/>
        <w:spacing w:before="360" w:after="120"/>
      </w:pPr>
      <w:r>
        <w:rPr>
          <w:b/>
        </w:rPr>
        <w:t xml:space="preserve">10. Security Design</w:t>
      </w:r>
    </w:p>
    <w:p w14:paraId="00100160" w14:textId="00100161">
      <w:pPr>
        <w:spacing w:after="160"/>
      </w:pPr>
      <w:r>
        <w:rPr>
          <w:sz w:val="22"/>
        </w:rPr>
        <w:t xml:space="preserve">CyberNetAnalyzer is built with a defensive-first philosophy. Every design decision prioritises preventing misuse:</w:t>
      </w:r>
    </w:p>
    <w:p w14:paraId="00100162" w14:textId="00100163">
      <w:pPr>
        <w:numPr>
          <w:ilvl w:val="0"/>
          <w:numId w:val="5"/>
        </w:numPr>
        <w:spacing w:after="80"/>
      </w:pPr>
      <w:r>
        <w:rPr>
          <w:sz w:val="22"/>
        </w:rPr>
        <w:t xml:space="preserve">Authorization gate - Every scan session requires an explicit click-through confirmation dialog acknowledging that the user owns or has written permission to scan the target.</w:t>
      </w:r>
    </w:p>
    <w:p w14:paraId="00100164" w14:textId="00100165">
      <w:pPr>
        <w:numPr>
          <w:ilvl w:val="0"/>
          <w:numId w:val="5"/>
        </w:numPr>
        <w:spacing w:after="80"/>
      </w:pPr>
      <w:r>
        <w:rPr>
          <w:sz w:val="22"/>
        </w:rPr>
        <w:t xml:space="preserve">Host limit - A hard cap of 1,024 hosts per session is enforced at the resolve_targets() level. Ranges exceeding this raise a descriptive ValueError before any scanning begins.</w:t>
      </w:r>
    </w:p>
    <w:p w14:paraId="00100166" w14:textId="00100167">
      <w:pPr>
        <w:numPr>
          <w:ilvl w:val="0"/>
          <w:numId w:val="5"/>
        </w:numPr>
        <w:spacing w:after="80"/>
      </w:pPr>
      <w:r>
        <w:rPr>
          <w:sz w:val="22"/>
        </w:rPr>
        <w:t xml:space="preserve">Standard TCP connect only - The scanner uses Python's socket.connect_ex() exclusively. No raw packet crafting, SYN stealth, OS fingerprinting, or UDP probing.</w:t>
      </w:r>
    </w:p>
    <w:p w14:paraId="00100168" w14:textId="00100169">
      <w:pPr>
        <w:numPr>
          <w:ilvl w:val="0"/>
          <w:numId w:val="5"/>
        </w:numPr>
        <w:spacing w:after="80"/>
      </w:pPr>
      <w:r>
        <w:rPr>
          <w:sz w:val="22"/>
        </w:rPr>
        <w:t xml:space="preserve">No exploitation - The tool never authenticates against, exploits, or modifies any discovered service. Banner grabbing is a passive recv() only.</w:t>
      </w:r>
    </w:p>
    <w:p w14:paraId="0010016A" w14:textId="0010016B">
      <w:pPr>
        <w:numPr>
          <w:ilvl w:val="0"/>
          <w:numId w:val="5"/>
        </w:numPr>
        <w:spacing w:after="80"/>
      </w:pPr>
      <w:r>
        <w:rPr>
          <w:sz w:val="22"/>
        </w:rPr>
        <w:t xml:space="preserve">No credential storage - The application never handles, prompts for, or stores any credentials.</w:t>
      </w:r>
    </w:p>
    <w:p w14:paraId="0010016C" w14:textId="0010016D">
      <w:pPr>
        <w:numPr>
          <w:ilvl w:val="0"/>
          <w:numId w:val="5"/>
        </w:numPr>
        <w:spacing w:after="80"/>
      </w:pPr>
      <w:r>
        <w:rPr>
          <w:sz w:val="22"/>
        </w:rPr>
        <w:t xml:space="preserve">Advisory risk labels only - Risk findings are flagged by port number alone. They do not confirm exploitation or vulnerability - a qualified security analyst must review all findings before drawing conclusions.</w:t>
      </w:r>
    </w:p>
    <w:p w14:paraId="0010016E" w14:textId="0010016F">
      <w:pPr>
        <w:numPr>
          <w:ilvl w:val="0"/>
          <w:numId w:val="5"/>
        </w:numPr>
        <w:spacing w:after="80"/>
      </w:pPr>
      <w:r>
        <w:rPr>
          <w:sz w:val="22"/>
        </w:rPr>
        <w:t xml:space="preserve">Concurrency cap - MAX_WORKERS = 50 threads per host prevents the scanner from generating traffic volumes that could disrupt network services.</w:t>
      </w:r>
    </w:p>
    <w:p w14:paraId="00100170" w14:textId="00100171">
      <w:pPr>
        <w:numPr>
          <w:ilvl w:val="0"/>
          <w:numId w:val="5"/>
        </w:numPr>
        <w:spacing w:after="160"/>
      </w:pPr>
      <w:r>
        <w:rPr>
          <w:sz w:val="22"/>
        </w:rPr>
        <w:t xml:space="preserve">Timeouts - CONNECT_TIMEOUT = 1.0 s per port and BANNER_TIMEOUT = 2.0 s are enforced to limit total scan time and avoid hanging on unresponsive hosts.</w:t>
      </w:r>
    </w:p>
    <w:p w14:paraId="00100172" w14:textId="00100173">
      <w:pPr>
        <w:pStyle w:val="Heading1"/>
        <w:spacing w:before="360" w:after="120"/>
      </w:pPr>
      <w:r>
        <w:rPr>
          <w:b/>
        </w:rPr>
        <w:t xml:space="preserve">11. Testing</w:t>
      </w:r>
    </w:p>
    <w:p w14:paraId="00100174" w14:textId="00100175">
      <w:pPr>
        <w:pStyle w:val="Heading2"/>
        <w:spacing w:before="240" w:after="120"/>
      </w:pPr>
      <w:r>
        <w:rPr>
          <w:b/>
        </w:rPr>
        <w:t xml:space="preserve">11.1 Smoke Tests</w:t>
      </w:r>
    </w:p>
    <w:p w14:paraId="00100176" w14:textId="00100177">
      <w:pPr>
        <w:spacing w:after="120"/>
      </w:pPr>
      <w:r>
        <w:rPr>
          <w:sz w:val="22"/>
        </w:rPr>
        <w:t xml:space="preserve">The following one-liners verify that each core module imports and its key functions operate correctly without network access:</w:t>
      </w:r>
    </w:p>
    <w:p w14:paraId="00100178" w14:textId="00100179">
      <w:pPr>
        <w:spacing w:after="40"/>
      </w:pPr>
      <w:r>
        <w:rPr>
          <w:sz w:val="20"/>
        </w:rPr>
        <w:t xml:space="preserve">python -c "from core.scanner import resolve_targets; print(resolve_targets('127.0.0.1'))"</w:t>
      </w:r>
    </w:p>
    <w:p w14:paraId="0010017A" w14:textId="0010017B">
      <w:pPr>
        <w:spacing w:after="40"/>
      </w:pPr>
      <w:r>
        <w:rPr>
          <w:sz w:val="20"/>
        </w:rPr>
        <w:t xml:space="preserve">python -c "from core.service_db import get_service_name, get_risk; print(get_service_name(22)); print(get_risk(23))"</w:t>
      </w:r>
    </w:p>
    <w:p w14:paraId="0010017C" w14:textId="0010017D">
      <w:pPr>
        <w:spacing w:after="40"/>
      </w:pPr>
      <w:r>
        <w:rPr>
          <w:sz w:val="20"/>
        </w:rPr>
        <w:t xml:space="preserve">python -c "from core.reporter import export_csv; print('reporter OK')"</w:t>
      </w:r>
    </w:p>
    <w:p w14:paraId="0010017E" w14:textId="0010017F">
      <w:pPr>
        <w:spacing w:after="160"/>
      </w:pPr>
      <w:r>
        <w:rPr>
          <w:sz w:val="20"/>
        </w:rPr>
        <w:t xml:space="preserve">python -c "import core.scanner; import core.service_db; import core.reporter; import core.traffic_analyzer; print('All imports OK')"</w:t>
      </w:r>
    </w:p>
    <w:p w14:paraId="00100180" w14:textId="00100181">
      <w:pPr>
        <w:pStyle w:val="Heading2"/>
        <w:spacing w:before="240" w:after="120"/>
      </w:pPr>
      <w:r>
        <w:rPr>
          <w:b/>
        </w:rPr>
        <w:t xml:space="preserve">11.2 Localhost Scan Test</w:t>
      </w:r>
    </w:p>
    <w:p w14:paraId="00100182" w14:textId="00100183">
      <w:pPr>
        <w:spacing w:after="120"/>
      </w:pPr>
      <w:r>
        <w:rPr>
          <w:sz w:val="22"/>
        </w:rPr>
        <w:t xml:space="preserve">Target 127.0.0.1 with a custom port list (e.g. 22, 80, 443, 8080) to perform a safe self-scan with no authorization concerns. This exercises the full scan workflow - discovery, port probing, risk lookup, treeview population, and report generation - in a completely safe environment.</w:t>
      </w:r>
    </w:p>
    <w:p w14:paraId="00100184" w14:textId="00100185">
      <w:pPr>
        <w:pStyle w:val="Heading2"/>
        <w:spacing w:before="240" w:after="120"/>
      </w:pPr>
      <w:r>
        <w:rPr>
          <w:b/>
        </w:rPr>
        <w:t xml:space="preserve">11.3 Sample Data Test</w:t>
      </w:r>
    </w:p>
    <w:p w14:paraId="00100186" w14:textId="00100187">
      <w:pPr>
        <w:spacing w:after="160"/>
      </w:pPr>
      <w:r>
        <w:rPr>
          <w:sz w:val="22"/>
        </w:rPr>
        <w:t xml:space="preserve">Click Load Sample Data to instantly load the built-in six-host scenario. Verify that: (a) the treeview populates with rows colour-coded by risk level; (b) clicking a HIGH-risk row shows the full explanation and remediation in the detail panel; (c) the Security Report tab shows the complete narrative with all six hosts; and (d) the Export Reports button becomes enabled.</w:t>
      </w:r>
    </w:p>
    <w:p w14:paraId="00100188" w14:textId="00100189">
      <w:pPr>
        <w:pStyle w:val="Heading1"/>
        <w:spacing w:before="360" w:after="120"/>
      </w:pPr>
      <w:r>
        <w:rPr>
          <w:b/>
        </w:rPr>
        <w:t xml:space="preserve">12. Troubleshooting</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8A" w14:textId="0010018B">
            <w:r>
              <w:t xml:space="preserve">Problem</w:t>
            </w:r>
          </w:p>
        </w:tc>
        <w:tc>
          <w:p w14:paraId="0010018C" w14:textId="0010018D">
            <w:r>
              <w:t xml:space="preserve">Solution</w:t>
            </w:r>
          </w:p>
        </w:tc>
      </w:tr>
      <w:tr>
        <w:trPr/>
        <w:tc>
          <w:p w14:paraId="0010018E" w14:textId="0010018F">
            <w:r>
              <w:t xml:space="preserve">ModuleNotFoundError: No module named 'tkinter'</w:t>
            </w:r>
          </w:p>
        </w:tc>
        <w:tc>
          <w:p w14:paraId="00100190" w14:textId="00100191">
            <w:r>
              <w:t xml:space="preserve">Install: sudo apt install python3-tk (Linux) or reinstall Python with Tk on Windows</w:t>
            </w:r>
          </w:p>
        </w:tc>
      </w:tr>
      <w:tr>
        <w:trPr/>
        <w:tc>
          <w:p w14:paraId="00100192" w14:textId="00100193">
            <w:r>
              <w:t xml:space="preserve">Scan finds no hosts</w:t>
            </w:r>
          </w:p>
        </w:tc>
        <w:tc>
          <w:p w14:paraId="00100194" w14:textId="00100195">
            <w:r>
              <w:t xml:space="preserve">Verify your target IP range is correct; try 127.0.0.1 first</w:t>
            </w:r>
          </w:p>
        </w:tc>
      </w:tr>
      <w:tr>
        <w:trPr/>
        <w:tc>
          <w:p w14:paraId="00100196" w14:textId="00100197">
            <w:r>
              <w:t xml:space="preserve">All ports show closed on localhost</w:t>
            </w:r>
          </w:p>
        </w:tc>
        <w:tc>
          <w:p w14:paraId="00100198" w14:textId="00100199">
            <w:r>
              <w:t xml:space="preserve">Firewall may be blocking; try scanning a port you know is open</w:t>
            </w:r>
          </w:p>
        </w:tc>
      </w:tr>
      <w:tr>
        <w:trPr/>
        <w:tc>
          <w:p w14:paraId="0010019A" w14:textId="0010019B">
            <w:r>
              <w:t xml:space="preserve">PermissionError on live capture</w:t>
            </w:r>
          </w:p>
        </w:tc>
        <w:tc>
          <w:p w14:paraId="0010019C" w14:textId="0010019D">
            <w:r>
              <w:t xml:space="preserve">Run as Administrator (Windows) or root / with cap_net_raw (Linux)</w:t>
            </w:r>
          </w:p>
        </w:tc>
      </w:tr>
      <w:tr>
        <w:trPr/>
        <w:tc>
          <w:p w14:paraId="0010019E" w14:textId="0010019F">
            <w:r>
              <w:t xml:space="preserve">Scapy import error on Windows</w:t>
            </w:r>
          </w:p>
        </w:tc>
        <w:tc>
          <w:p w14:paraId="001001A0" w14:textId="001001A1">
            <w:r>
              <w:t xml:space="preserve">Install Npcap from https://npcap.com BEFORE installing Scapy</w:t>
            </w:r>
          </w:p>
        </w:tc>
      </w:tr>
      <w:tr>
        <w:trPr/>
        <w:tc>
          <w:p w14:paraId="001001A2" w14:textId="001001A3">
            <w:r>
              <w:t xml:space="preserve">Scapy libpcap not found on Linux</w:t>
            </w:r>
          </w:p>
        </w:tc>
        <w:tc>
          <w:p w14:paraId="001001A4" w14:textId="001001A5">
            <w:r>
              <w:t xml:space="preserve">Run: sudo apt install libpcap-dev</w:t>
            </w:r>
          </w:p>
        </w:tc>
      </w:tr>
      <w:tr>
        <w:trPr/>
        <w:tc>
          <w:p w14:paraId="001001A6" w14:textId="001001A7">
            <w:r>
              <w:t xml:space="preserve">Scan is slow</w:t>
            </w:r>
          </w:p>
        </w:tc>
        <w:tc>
          <w:p w14:paraId="001001A8" w14:textId="001001A9">
            <w:r>
              <w:t xml:space="preserve">Normal for large CIDR ranges; use /28 or /29 for testing</w:t>
            </w:r>
          </w:p>
        </w:tc>
      </w:tr>
      <w:tr>
        <w:trPr/>
        <w:tc>
          <w:p w14:paraId="001001AA" w14:textId="001001AB">
            <w:r>
              <w:t xml:space="preserve">ValueError: range exceeds 1024 hosts</w:t>
            </w:r>
          </w:p>
        </w:tc>
        <w:tc>
          <w:p w14:paraId="001001AC" w14:textId="001001AD">
            <w:r>
              <w:t xml:space="preserve">Use a smaller CIDR (e.g. /22 instead of /16)</w:t>
            </w:r>
          </w:p>
        </w:tc>
      </w:tr>
      <w:tr>
        <w:trPr/>
        <w:tc>
          <w:p w14:paraId="001001AE" w14:textId="001001AF">
            <w:r>
              <w:t xml:space="preserve">GUI does not start</w:t>
            </w:r>
          </w:p>
        </w:tc>
        <w:tc>
          <w:p w14:paraId="001001B0" w14:textId="001001B1">
            <w:r>
              <w:t xml:space="preserve">Verify Python version &gt;= 3.10 with: python --version</w:t>
            </w:r>
          </w:p>
        </w:tc>
      </w:tr>
    </w:tbl>
    <w:p w14:paraId="001001B2" w14:textId="001001B3">
      <w:pPr>
        <w:pStyle w:val="Heading1"/>
        <w:spacing w:before="360" w:after="120"/>
      </w:pPr>
      <w:r>
        <w:rPr>
          <w:b/>
        </w:rPr>
        <w:t xml:space="preserve">13. Limitations and Future Work</w:t>
      </w:r>
    </w:p>
    <w:p w14:paraId="001001B4" w14:textId="001001B5">
      <w:pPr>
        <w:pStyle w:val="Heading2"/>
        <w:spacing w:before="240" w:after="120"/>
      </w:pPr>
      <w:r>
        <w:rPr>
          <w:b/>
        </w:rPr>
        <w:t xml:space="preserve">Current Limitations</w:t>
      </w:r>
    </w:p>
    <w:p w14:paraId="001001B6" w14:textId="001001B7">
      <w:pPr>
        <w:numPr>
          <w:ilvl w:val="0"/>
          <w:numId w:val="6"/>
        </w:numPr>
        <w:spacing w:after="80"/>
      </w:pPr>
      <w:r>
        <w:rPr>
          <w:sz w:val="22"/>
        </w:rPr>
        <w:t xml:space="preserve">TCP only - UDP services (DNS, DHCP, SNMP, NTP) are not port-scanned. The risk database flags them when present in traffic analysis, but active UDP discovery is not implemented.</w:t>
      </w:r>
    </w:p>
    <w:p w14:paraId="001001B8" w14:textId="001001B9">
      <w:pPr>
        <w:numPr>
          <w:ilvl w:val="0"/>
          <w:numId w:val="6"/>
        </w:numPr>
        <w:spacing w:after="80"/>
      </w:pPr>
      <w:r>
        <w:rPr>
          <w:sz w:val="22"/>
        </w:rPr>
        <w:t xml:space="preserve">IPv4 only - IPv6 targets are not currently supported.</w:t>
      </w:r>
    </w:p>
    <w:p w14:paraId="001001BA" w14:textId="001001BB">
      <w:pPr>
        <w:numPr>
          <w:ilvl w:val="0"/>
          <w:numId w:val="6"/>
        </w:numPr>
        <w:spacing w:after="80"/>
      </w:pPr>
      <w:r>
        <w:rPr>
          <w:sz w:val="22"/>
        </w:rPr>
        <w:t xml:space="preserve">No authentication testing - The tool cannot verify whether a discovered service enforces authentication.</w:t>
      </w:r>
    </w:p>
    <w:p w14:paraId="001001BC" w14:textId="001001BD">
      <w:pPr>
        <w:numPr>
          <w:ilvl w:val="0"/>
          <w:numId w:val="6"/>
        </w:numPr>
        <w:spacing w:after="80"/>
      </w:pPr>
      <w:r>
        <w:rPr>
          <w:sz w:val="22"/>
        </w:rPr>
        <w:t xml:space="preserve">1,024-host cap - Large enterprise networks (e.g. /16 or /8 ranges) require multiple scan sessions.</w:t>
      </w:r>
    </w:p>
    <w:p w14:paraId="001001BE" w14:textId="001001BF">
      <w:pPr>
        <w:numPr>
          <w:ilvl w:val="0"/>
          <w:numId w:val="6"/>
        </w:numPr>
        <w:spacing w:after="120"/>
      </w:pPr>
      <w:r>
        <w:rPr>
          <w:sz w:val="22"/>
        </w:rPr>
        <w:t xml:space="preserve">Port-based risk only - Risk assessment does not account for patch level, service configuration, or network segmentation context.</w:t>
      </w:r>
    </w:p>
    <w:p w14:paraId="001001C0" w14:textId="001001C1">
      <w:pPr>
        <w:pStyle w:val="Heading2"/>
        <w:spacing w:before="240" w:after="120"/>
      </w:pPr>
      <w:r>
        <w:rPr>
          <w:b/>
        </w:rPr>
        <w:t xml:space="preserve">Potential Future Enhancements</w:t>
      </w:r>
    </w:p>
    <w:p w14:paraId="001001C2" w14:textId="001001C3">
      <w:pPr>
        <w:spacing w:after="160"/>
      </w:pPr>
      <w:r>
        <w:rPr>
          <w:sz w:val="22"/>
        </w:rPr>
        <w:t xml:space="preserve">IPv6 support, UDP scanning, scheduled/recurring scans, HTML report output, CVE database integration for banner-matched service versions, network topology graph visualisation, and CIDR range comparison across multiple scan sessions.</w:t>
      </w:r>
    </w:p>
    <w:p w14:paraId="001001C4" w14:textId="001001C5">
      <w:pPr>
        <w:pStyle w:val="Heading1"/>
        <w:spacing w:before="360" w:after="120"/>
      </w:pPr>
      <w:r>
        <w:rPr>
          <w:b/>
        </w:rPr>
        <w:t xml:space="preserve">14. Conclusion</w:t>
      </w:r>
    </w:p>
    <w:p w14:paraId="001001C6" w14:textId="001001C7">
      <w:pPr>
        <w:spacing w:after="160"/>
      </w:pPr>
      <w:r>
        <w:rPr>
          <w:sz w:val="22"/>
        </w:rPr>
        <w:t xml:space="preserve">CyberNetAnalyzer demonstrates that a production-quality network security analysis tool can be built entirely from the Python standard library. The modular architecture cleanly separates GUI, scanning, risk assessment, traffic analysis, and reporting concerns, making each component independently testable and extensible.</w:t>
      </w:r>
    </w:p>
    <w:p w14:paraId="001001C8" w14:textId="001001C9">
      <w:pPr>
        <w:spacing w:after="160"/>
      </w:pPr>
      <w:r>
        <w:rPr>
          <w:sz w:val="22"/>
        </w:rPr>
        <w:t xml:space="preserve">The built-in risk database covers 25 high-profile services with accurate real-world threat context and actionable remediation guidance. The sample data feature provides immediate, visually compelling threat demonstration without requiring any live network access - making the tool equally useful as an educational exhibit and a practical security assessment aid.</w:t>
      </w:r>
    </w:p>
    <w:p w14:paraId="001001CA" w14:textId="001001CB">
      <w:pPr>
        <w:spacing w:after="160"/>
      </w:pPr>
      <w:r>
        <w:rPr>
          <w:sz w:val="22"/>
        </w:rPr>
        <w:t xml:space="preserve">All design decisions reflect the guiding principle that a security tool must itself embody responsible practices: explicit authorization gates, no exploitation, no credential handling, and clear advisory disclaimers on all risk findings.</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Title">
    <w:name w:val="Title"/>
    <w:basedOn w:val="Normal"/>
    <w:next w:val="Normal"/>
    <w:uiPriority w:val="10"/>
    <w:qFormat/>
    <w:pPr>
      <w:spacing w:after="0" w:line="240" w:lineRule="auto"/>
      <w:contextualSpacing/>
    </w:pPr>
    <w:rPr>
      <w:rFonts w:asciiTheme="majorHAnsi" w:hAnsiTheme="majorHAnsi" w:eastAsiaTheme="majorEastAsia" w:cstheme="majorBidi"/>
      <w:spacing w:val="-10"/>
      <w:kern w:val="28"/>
      <w:sz w:val="56"/>
      <w:szCs w:val="56"/>
    </w:rPr>
  </w:style>
  <w:style w:type="paragraph" w:styleId="Subtitle">
    <w:name w:val="Subtitle"/>
    <w:basedOn w:val="Normal"/>
    <w:next w:val="Normal"/>
    <w:uiPriority w:val="10"/>
    <w:qFormat/>
    <w:pPr>
      <w:spacing w:after="0" w:line="240" w:lineRule="auto"/>
      <w:contextualSpacing/>
    </w:pPr>
    <w:rPr>
      <w:rFonts w:asciiTheme="majorHAnsi" w:hAnsiTheme="majorHAnsi" w:eastAsiaTheme="majorEastAsia" w:cstheme="majorBidi"/>
      <w:color w:val="5A5A5A"/>
      <w:sz w:val="22"/>
      <w:szCs w:val="22"/>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b557caf2bfd2424f" /><Relationship Type="http://schemas.openxmlformats.org/officeDocument/2006/relationships/styles" Target="/word/styles.xml" Id="R4c03b863443448bb" /><Relationship Type="http://schemas.openxmlformats.org/officeDocument/2006/relationships/theme" Target="/word/theme/theme1.xml" Id="Radbb85517fbc41ef" /><Relationship Type="http://schemas.openxmlformats.org/officeDocument/2006/relationships/numbering" Target="/word/numbering.xml" Id="R2c78bdf04aba48a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OfficeCLI/1.0.157</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2026-10-22T15:33:42Z</dcterms:created>
  <cp:lastModifiedBy>OfficeCLI</cp:lastModifiedBy>
  <dcterms:modified xsi:type="dcterms:W3CDTF">2026-10-22T15:33:42Z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1.0.158</vt:lpwstr>
  </op:property>
  <op:property fmtid="{D5CDD505-2E9C-101B-9397-08002B2CF9AE}" pid="3" name="OfficeCLI.LastModified">
    <vt:lpwstr xmlns:vt="http://schemas.openxmlformats.org/officeDocument/2006/docPropsVTypes">2026-10-22T15:34:44Z</vt:lpwstr>
  </op:property>
</op:Properties>
</file>