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FunnishaInsights.com — EPISODE 13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 NUMBER THAT TRIED TO MEASURE VALUE</w:t>
      </w:r>
    </w:p>
    <w:p w:rsidR="00D011D5" w:rsidRPr="00D011D5" w:rsidRDefault="00D011D5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When 62% Meets the Question, “Says Who?”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had a number. He did not yet have an answer.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Overnight, the 62% figure had moved from a scribbled note on the whiteboard to a line item circulating on email. Somewhere between those two moments, it had started to look like a conclusion. It was not one yet.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Falcon file had cleared its first hurdl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e. Profit Split was, on the facts so far, a serious method hypothesis. But choosing a method was never the hard part. Defending a number was.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 8:02 A.M. CHALLENGE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At 8:02 a.m., the manager was waiting with a single question.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“Where did 62% come from?”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opened his notes. “Weighted engineering headcount cost, adjusted for R&amp;D spend.”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“Adjusted how?”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hesitated. “I gave more weight to senior engineers.”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“Why?”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“Because senior engineers made the architecture decision.”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manager nodded sl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owly. “That may be true. But right now, it is your opinion wearing a percentage sign.”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 FIRST PRINCIPLE: A SPLIT IS ONLY AS GOOD AS ITS FACTORS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Rule </w:t>
      </w:r>
      <w:proofErr w:type="gramStart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10B(</w:t>
      </w:r>
      <w:proofErr w:type="gramEnd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1)(c) of the Income-tax Rules, 1962 describes the Profit Split Method in two possible forms: a cont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ribution analysis, where combined profits are divided based on the relative contributions of each enterprise, or a residual analysis, where routine returns are first allocated and any residual profit is divided based on the relative contribution of the par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ties to that residual, having regard to the facts and circumstances.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Neither approach says “pick a number that feels right.” Both require the allocation key, the splitting factor, to actually track how value was created.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OECD Transfer Pricing Guidelines make the same point from a different angle: splitting factors should be capable of being measured in a reliable manner, based on verifiable data, and should genuinely correlate with the creation of value in the transact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ion.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wrote a shorter version underneath.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“A splitting factor is not evidence because it is numeric. It is evidence because it is connected.”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 FIRST ATTEMPT: R&amp;D SPEND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Aarav's first instinct was to use the USD 8.4 million of India-funded R&amp;D as 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splitting factor.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manager had already dismantled that idea once, over funding. Now he dismantled it again, over measurement.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“Does R&amp;D spend tell us who solved the technical problem,” he asked, “or does it just tell us who wrote the cheque?”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av checked the breakdown. Much of </w:t>
      </w:r>
      <w:proofErr w:type="gramStart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spend</w:t>
      </w:r>
      <w:proofErr w:type="gramEnd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was equipment and testing infrastructure. The actual architecture redesign, the piece </w:t>
      </w:r>
      <w:proofErr w:type="spellStart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Meera's</w:t>
      </w:r>
      <w:proofErr w:type="spellEnd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team had driven, was a comparatively small line in the budget.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“Spend and contribution are not the same axis,” Aarav 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admitted.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“Correct. Keep looking.”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FACT BOX: WHAT MAKES A SPLITTING FACTOR RELIABLE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 defensible splitting factor generally needs to satisfy four tests:</w:t>
      </w:r>
    </w:p>
    <w:p w:rsidR="001F357F" w:rsidRPr="00D011D5" w:rsidRDefault="00CC3133" w:rsidP="00D011D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It correlates with the economically significant functions, assets and risks that actually created the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value, not merely with size or spend.</w:t>
      </w:r>
    </w:p>
    <w:p w:rsidR="001F357F" w:rsidRPr="00D011D5" w:rsidRDefault="00CC3133" w:rsidP="00D011D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It is based on data that can be verified from contemporaneous records, not reconstructed after the fact.</w:t>
      </w:r>
    </w:p>
    <w:p w:rsidR="001F357F" w:rsidRPr="00D011D5" w:rsidRDefault="00CC3133" w:rsidP="00D011D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It is applied consistently, so the same logic would produce the same answer if tested by someone outside the roo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m.</w:t>
      </w:r>
    </w:p>
    <w:p w:rsidR="001F357F" w:rsidRPr="00D011D5" w:rsidRDefault="00CC3133" w:rsidP="00D011D5">
      <w:pPr>
        <w:pStyle w:val="ListParagraph"/>
        <w:numPr>
          <w:ilvl w:val="0"/>
          <w:numId w:val="1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It can be explained to a tax officer using ordinary business language, not just tax terminology.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 number that fails even one of these tests is not yet a splitting factor. It is a hypothesis about one.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 RESIDUAL APPROACH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By late morning, Aarav had restructured the analysis into two stages, the structure Rule </w:t>
      </w:r>
      <w:proofErr w:type="gramStart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10B(</w:t>
      </w:r>
      <w:proofErr w:type="gramEnd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1)(c) itself contemplates.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BOX 1 — ROUTINE RETURNS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routine engineering support functions performed by India, and the routine distribution or marketing functio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ns performed elsewhere in the group, could potentially be benchmarked using TNMM against comparable independent companies. This would compensate the “ordinary” part of the work.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BOX 2 — RESIDUAL VALUE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What remained after paying those routine returns was t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he value attributable to the unique and valuable contributions identified earlier: the architecture redesign, the technical judgment calls, the IP strategy, </w:t>
      </w:r>
      <w:proofErr w:type="gramStart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</w:t>
      </w:r>
      <w:proofErr w:type="gramEnd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commercial exploitation decisions. That residual, not the whole profit pool, was what Profit Sp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lit needed to divide.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“So 62% of what, exactly?” the manager asked.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paused. “Not 62% of Falcon's total profit. At most, 62% of the residual, once routine returns are already paid out.”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“Now say that difference out loud to a client.”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did.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 PATENT COUNT TRAP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At 1:20 p.m., someone from the IP team forwarded a slide: India held eleven patent filings connected to Falcon.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Aarav's first thought was to add patent count as a splitting factor.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manager stopped him before he finished the sent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ence.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“How many of those eleven are actually being used in the commercialized product?”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checked. “Six.”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“How many are what a patent attorney would call defensive filings, useful for blocking competitors, but not the reason the product works?”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“Five.”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“So an </w:t>
      </w:r>
      <w:proofErr w:type="spellStart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unweighted</w:t>
      </w:r>
      <w:proofErr w:type="spellEnd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patent count would have overstated India's position. What does that tell you?”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“That a factor can be real and still be the wrong factor to lean on alone.”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 STRESS TEST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manager pushed the notebook back across the table.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“Before you defend 62%, break it.”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ran the numbers three ways: weighting by headcount cost alone, by a blended measure of senior-engineer time and validated patents, and by a broader value-creation score that also factored in the failure-rate data f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rom the five-year forecast.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results moved. 41%. 58%. 62%. None of them was obviously wrong on its face. That was the uncomfortable part.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“This is why documentation exists,” the manager said. “Not to justify a number after the fact. To show which assu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mptions actually survive scrutiny, and why the others do not.”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Section 92D of the Income-tax Act, 1961, read with Rule 10D, requires contemporaneous documentation supporting the method selected and the basis for the allocation, not a narrative built backw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ard from a preferred outcome.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circled the blended measure. It was the only one where every input could be traced to a document that existed before this week.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 QUESTION FROM LEGAL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At 3:40 p.m., the legal team flagged something Aarav had not consi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dered.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“The intercompany agreement was amended two months ago to describe India's role in broader terms. Does that change your position?”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The manager answered before Aarav could.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“Not for the years already under review. Conduct in those years has already happened. A contract signed afterward cannot rewrite what functions were actually performed in the past.”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Comparability analysis under Rule 10B looks at the substance of what each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party actually did, alongside the contract, not the contract in isolation. An amendment going forward could shape future years. It could not retroactively change the facts Aarav was </w:t>
      </w:r>
      <w:proofErr w:type="spellStart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analyzing</w:t>
      </w:r>
      <w:proofErr w:type="spellEnd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“So the new agreement matters,” Aarav said, “just not to this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file.”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“Not to this file,” the manager agreed. “Make a note for the next one.”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 TWIST AT 6:30 P.M.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Just as Aarav began drafting the position paper, the manager received a message and read it twice before speaking.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“The India entity's transfer pricin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g filing for last year is already under scrutiny assessment.”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looked up. “The same 8.4 million dollar funding figure will already be in the officer's file.”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“Yes. Which means whatever we conclude on Falcon will not just sit in a memo. It may need t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o hold up in front of someone whose job is to find the weakest assumption in it.”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For the first time, the number on the screen stopped feeling academic.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THE LESSON</w:t>
      </w: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lastRenderedPageBreak/>
        <w:t>A percentage is not proof. A percentage is a conclusion, and a conclusion is only as stron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g as the assumptions that produced it.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Choosing Profit Split answers one question: which method fits the facts. It does not answer the harder question that follows: which splitting factor can actually be traced, verified and defended, line by line, to som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eone who was not in the room when it was built.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Aarav had learned that a defensible number is not the one that feels intuitively fair. It is the one that survives someone else trying to take it apart.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pStyle w:val="Heading1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TO BE CONTINUED...</w:t>
      </w:r>
      <w:bookmarkStart w:id="0" w:name="_GoBack"/>
      <w:bookmarkEnd w:id="0"/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Aarav saved the position paper, but left one line unfinished at the bottom of the page: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“If the assessing officer rejects the blended factor, what is our </w:t>
      </w:r>
      <w:proofErr w:type="spellStart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fallback</w:t>
      </w:r>
      <w:proofErr w:type="spellEnd"/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basis?”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He did not have an answer yet.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Outside the manager's office, a new file had alread</w:t>
      </w:r>
      <w:r w:rsidRPr="00D011D5">
        <w:rPr>
          <w:rFonts w:asciiTheme="minorHAnsi" w:hAnsiTheme="minorHAnsi" w:cstheme="minorHAnsi"/>
          <w:color w:val="000000" w:themeColor="text1"/>
          <w:sz w:val="24"/>
          <w:szCs w:val="24"/>
        </w:rPr>
        <w:t>y landed on the desk. Its subject line read differently from anything Falcon had raised so far:</w:t>
      </w:r>
    </w:p>
    <w:p w:rsidR="001F357F" w:rsidRPr="00D011D5" w:rsidRDefault="001F357F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:rsidR="001F357F" w:rsidRPr="00D011D5" w:rsidRDefault="00CC3133" w:rsidP="00D011D5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D011D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EPISODE 14: THE AUDIT THAT ASKED A DIFFERENT QUESTION</w:t>
      </w:r>
    </w:p>
    <w:sectPr w:rsidR="001F357F" w:rsidRPr="00D011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8E440B"/>
    <w:multiLevelType w:val="hybridMultilevel"/>
    <w:tmpl w:val="58F40AD0"/>
    <w:lvl w:ilvl="0" w:tplc="528883D2">
      <w:start w:val="1"/>
      <w:numFmt w:val="bullet"/>
      <w:lvlText w:val="●"/>
      <w:lvlJc w:val="left"/>
      <w:pPr>
        <w:ind w:left="720" w:hanging="360"/>
      </w:pPr>
    </w:lvl>
    <w:lvl w:ilvl="1" w:tplc="78A60F52">
      <w:start w:val="1"/>
      <w:numFmt w:val="bullet"/>
      <w:lvlText w:val="○"/>
      <w:lvlJc w:val="left"/>
      <w:pPr>
        <w:ind w:left="1440" w:hanging="360"/>
      </w:pPr>
    </w:lvl>
    <w:lvl w:ilvl="2" w:tplc="26DC29D0">
      <w:start w:val="1"/>
      <w:numFmt w:val="bullet"/>
      <w:lvlText w:val="■"/>
      <w:lvlJc w:val="left"/>
      <w:pPr>
        <w:ind w:left="2160" w:hanging="360"/>
      </w:pPr>
    </w:lvl>
    <w:lvl w:ilvl="3" w:tplc="6DF0F028">
      <w:start w:val="1"/>
      <w:numFmt w:val="bullet"/>
      <w:lvlText w:val="●"/>
      <w:lvlJc w:val="left"/>
      <w:pPr>
        <w:ind w:left="2880" w:hanging="360"/>
      </w:pPr>
    </w:lvl>
    <w:lvl w:ilvl="4" w:tplc="B8725C8E">
      <w:start w:val="1"/>
      <w:numFmt w:val="bullet"/>
      <w:lvlText w:val="○"/>
      <w:lvlJc w:val="left"/>
      <w:pPr>
        <w:ind w:left="3600" w:hanging="360"/>
      </w:pPr>
    </w:lvl>
    <w:lvl w:ilvl="5" w:tplc="17E4D55E">
      <w:start w:val="1"/>
      <w:numFmt w:val="bullet"/>
      <w:lvlText w:val="■"/>
      <w:lvlJc w:val="left"/>
      <w:pPr>
        <w:ind w:left="4320" w:hanging="360"/>
      </w:pPr>
    </w:lvl>
    <w:lvl w:ilvl="6" w:tplc="171014F8">
      <w:start w:val="1"/>
      <w:numFmt w:val="bullet"/>
      <w:lvlText w:val="●"/>
      <w:lvlJc w:val="left"/>
      <w:pPr>
        <w:ind w:left="5040" w:hanging="360"/>
      </w:pPr>
    </w:lvl>
    <w:lvl w:ilvl="7" w:tplc="D87225FA">
      <w:start w:val="1"/>
      <w:numFmt w:val="bullet"/>
      <w:lvlText w:val="●"/>
      <w:lvlJc w:val="left"/>
      <w:pPr>
        <w:ind w:left="5760" w:hanging="360"/>
      </w:pPr>
    </w:lvl>
    <w:lvl w:ilvl="8" w:tplc="362EF9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57F"/>
    <w:rsid w:val="001F357F"/>
    <w:rsid w:val="00CC3133"/>
    <w:rsid w:val="00D0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C10889-4856-4C31-B877-1F2D9DBD6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2026-09-12T15:22:00Z</dcterms:created>
  <dcterms:modified xsi:type="dcterms:W3CDTF">2026-09-12T15:22:00Z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52392b4b-1b20-45e2-87f4-1eeb63f00c44</vt:lpwstr>
  </property>
</Properties>
</file>