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b/>
          <w:bCs/>
          <w:sz w:val="24"/>
          <w:szCs w:val="24"/>
        </w:rPr>
        <w:t>FunnishaInsights.com — EPISODE 14</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b/>
          <w:bCs/>
          <w:sz w:val="24"/>
          <w:szCs w:val="24"/>
        </w:rPr>
        <w:t>THE AUDIT THAT ASKED A DIFFERENT QUESTION</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i/>
          <w:iCs/>
          <w:sz w:val="24"/>
          <w:szCs w:val="24"/>
        </w:rPr>
        <w:t>When the Transfer Pricing Officer Doesn't Attack Your Number — He Attacks Your Starting Point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had spent the weekend rehear</w:t>
      </w:r>
      <w:bookmarkStart w:id="0" w:name="_GoBack"/>
      <w:bookmarkEnd w:id="0"/>
      <w:r w:rsidRPr="00C044C6">
        <w:rPr>
          <w:rFonts w:asciiTheme="minorHAnsi" w:hAnsiTheme="minorHAnsi" w:cstheme="minorHAnsi"/>
          <w:sz w:val="24"/>
          <w:szCs w:val="24"/>
        </w:rPr>
        <w:t>sing an argument.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He was ready to defend the blended splitting factor. He was ready to defend 62%, or 58%, or whatever number the file finally settled on. He had the sensitivity tables. He had the documentation trail.</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 xml:space="preserve">He was not ready for the notice that arrived on Monday </w:t>
      </w:r>
      <w:r w:rsidRPr="00C044C6">
        <w:rPr>
          <w:rFonts w:asciiTheme="minorHAnsi" w:hAnsiTheme="minorHAnsi" w:cstheme="minorHAnsi"/>
          <w:sz w:val="24"/>
          <w:szCs w:val="24"/>
        </w:rPr>
        <w:t>morning.</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9:04 A.M. NOTICE</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reference had gone through. The Assessing Officer had, with the Principal Commissioner's approval, sent the Falcon transaction to the Transfer Pricing Officer under Section 166 of the Income-tax Act, 2025, for determinati</w:t>
      </w:r>
      <w:r w:rsidRPr="00C044C6">
        <w:rPr>
          <w:rFonts w:asciiTheme="minorHAnsi" w:hAnsiTheme="minorHAnsi" w:cstheme="minorHAnsi"/>
          <w:sz w:val="24"/>
          <w:szCs w:val="24"/>
        </w:rPr>
        <w:t>on of the arm's length price.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opened the notice expecting a challenge to the profit split ratio.</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It was not there.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first question on the TPO's list read: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b/>
          <w:bCs/>
          <w:sz w:val="24"/>
          <w:szCs w:val="24"/>
        </w:rPr>
        <w:t xml:space="preserve">“The </w:t>
      </w:r>
      <w:proofErr w:type="spellStart"/>
      <w:r w:rsidRPr="00C044C6">
        <w:rPr>
          <w:rFonts w:asciiTheme="minorHAnsi" w:hAnsiTheme="minorHAnsi" w:cstheme="minorHAnsi"/>
          <w:b/>
          <w:bCs/>
          <w:sz w:val="24"/>
          <w:szCs w:val="24"/>
        </w:rPr>
        <w:t>assessee</w:t>
      </w:r>
      <w:proofErr w:type="spellEnd"/>
      <w:r w:rsidRPr="00C044C6">
        <w:rPr>
          <w:rFonts w:asciiTheme="minorHAnsi" w:hAnsiTheme="minorHAnsi" w:cstheme="minorHAnsi"/>
          <w:b/>
          <w:bCs/>
          <w:sz w:val="24"/>
          <w:szCs w:val="24"/>
        </w:rPr>
        <w:t xml:space="preserve"> is required to justify why the India-US-Singapore arrangement in respect o</w:t>
      </w:r>
      <w:r w:rsidRPr="00C044C6">
        <w:rPr>
          <w:rFonts w:asciiTheme="minorHAnsi" w:hAnsiTheme="minorHAnsi" w:cstheme="minorHAnsi"/>
          <w:b/>
          <w:bCs/>
          <w:sz w:val="24"/>
          <w:szCs w:val="24"/>
        </w:rPr>
        <w:t>f the Falcon technology has been characterized as a services and profit-split arrangement, and not as a cost contribution arrangement for the joint development of an intangible.”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read it twice.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“He hasn't asked about the number,” he told the manage</w:t>
      </w:r>
      <w:r w:rsidRPr="00C044C6">
        <w:rPr>
          <w:rFonts w:asciiTheme="minorHAnsi" w:hAnsiTheme="minorHAnsi" w:cstheme="minorHAnsi"/>
          <w:sz w:val="24"/>
          <w:szCs w:val="24"/>
        </w:rPr>
        <w:t>r. “He's asked about the label.”</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manager did not look surprised. “Then we have a different problem than the one we spent all of last week solving.”</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FIRST PRINCIPLE: CHARACTERIZATION COMES BEFORE METHOD</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Section 165 of the Income-tax Act, 2025, whi</w:t>
      </w:r>
      <w:r w:rsidRPr="00C044C6">
        <w:rPr>
          <w:rFonts w:asciiTheme="minorHAnsi" w:hAnsiTheme="minorHAnsi" w:cstheme="minorHAnsi"/>
          <w:sz w:val="24"/>
          <w:szCs w:val="24"/>
        </w:rPr>
        <w:t>ch now carries what was previously Section 92C, still asks the same underlying question: what is the most appropriate method, given the actual nature of the transaction.</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But that question only makes sense once the transaction itself has been correctly identified.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“You can build the most defensible Profit Split model in the country,” the manager said, “and it will still fail if the transaction underneath it was never a ser</w:t>
      </w:r>
      <w:r w:rsidRPr="00C044C6">
        <w:rPr>
          <w:rFonts w:asciiTheme="minorHAnsi" w:hAnsiTheme="minorHAnsi" w:cstheme="minorHAnsi"/>
          <w:sz w:val="24"/>
          <w:szCs w:val="24"/>
        </w:rPr>
        <w:t>vices arrangement to begin with.”</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lastRenderedPageBreak/>
        <w:t>This is what the OECD's transfer pricing guidance calls accurate delineation: examining the actual conduct, contributions, funding and risk-sharing of the parties to determine what the transaction really is, before asking</w:t>
      </w:r>
      <w:r w:rsidRPr="00C044C6">
        <w:rPr>
          <w:rFonts w:asciiTheme="minorHAnsi" w:hAnsiTheme="minorHAnsi" w:cstheme="minorHAnsi"/>
          <w:sz w:val="24"/>
          <w:szCs w:val="24"/>
        </w:rPr>
        <w:t xml:space="preserve"> how it should be priced. A written label in the intercompany agreement is a starting point. It is not the final word.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“So the TPO isn't disagreeing with our math,” Aarav said slowly.</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“He's disagreeing with our story.”</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QUESTION NOBODY EXPECTED</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w:t>
      </w:r>
      <w:r w:rsidRPr="00C044C6">
        <w:rPr>
          <w:rFonts w:asciiTheme="minorHAnsi" w:hAnsiTheme="minorHAnsi" w:cstheme="minorHAnsi"/>
          <w:sz w:val="24"/>
          <w:szCs w:val="24"/>
        </w:rPr>
        <w:t xml:space="preserve"> went back to the facts he already knew.</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India had funded a share of the R&amp;D. India had exercised independent technical judgment. India had taken on a risk that the redesigned architecture might fail. And the return India was seeking was not a fee for a s</w:t>
      </w:r>
      <w:r w:rsidRPr="00C044C6">
        <w:rPr>
          <w:rFonts w:asciiTheme="minorHAnsi" w:hAnsiTheme="minorHAnsi" w:cstheme="minorHAnsi"/>
          <w:sz w:val="24"/>
          <w:szCs w:val="24"/>
        </w:rPr>
        <w:t>ervice rendered and forgotten. It was tied to how well Falcon performed in the market for years to come.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That combination, funding, risk, and a return linked to future outcomes, was not, on its face, unusual for a services arrangement.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It was unusual for</w:t>
      </w:r>
      <w:r w:rsidRPr="00C044C6">
        <w:rPr>
          <w:rFonts w:asciiTheme="minorHAnsi" w:hAnsiTheme="minorHAnsi" w:cstheme="minorHAnsi"/>
          <w:sz w:val="24"/>
          <w:szCs w:val="24"/>
        </w:rPr>
        <w:t xml:space="preserve"> one that had never been documented as anything else.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“If two independent companies had actually built something together like this,” the manager asked, “would they have written it down as one company simply serving the other?”</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did not answer immed</w:t>
      </w:r>
      <w:r w:rsidRPr="00C044C6">
        <w:rPr>
          <w:rFonts w:asciiTheme="minorHAnsi" w:hAnsiTheme="minorHAnsi" w:cstheme="minorHAnsi"/>
          <w:sz w:val="24"/>
          <w:szCs w:val="24"/>
        </w:rPr>
        <w:t>iately.</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“No,” he finally said. “They would have written a joint development agreement. With defined contribution shares. And a way to divide the future income the development created.”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 xml:space="preserve">“That is called a cost contribution arrangement. And Falcon does not </w:t>
      </w:r>
      <w:r w:rsidRPr="00C044C6">
        <w:rPr>
          <w:rFonts w:asciiTheme="minorHAnsi" w:hAnsiTheme="minorHAnsi" w:cstheme="minorHAnsi"/>
          <w:sz w:val="24"/>
          <w:szCs w:val="24"/>
        </w:rPr>
        <w:t>have one.”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FACT BOX: WHY THE LABEL ALONE ISN'T ENOUGH</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 xml:space="preserve">A cost contribution arrangement, or CCA, is a structure where associated enterprises share the costs and risks of developing an intangible in proportion to their expected benefit, and in return each participant is treated as having its own interest in the </w:t>
      </w:r>
      <w:r w:rsidRPr="00C044C6">
        <w:rPr>
          <w:rFonts w:asciiTheme="minorHAnsi" w:hAnsiTheme="minorHAnsi" w:cstheme="minorHAnsi"/>
          <w:sz w:val="24"/>
          <w:szCs w:val="24"/>
        </w:rPr>
        <w:t>resulting asset, rather than being paid a service fee for helping build someone else's.</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Accurate delineation asks whether the substance of a transaction matches its label by looking at:</w:t>
      </w:r>
    </w:p>
    <w:p w:rsidR="009F36F1" w:rsidRPr="00C044C6" w:rsidRDefault="00420458" w:rsidP="00C044C6">
      <w:pPr>
        <w:pStyle w:val="ListParagraph"/>
        <w:numPr>
          <w:ilvl w:val="0"/>
          <w:numId w:val="1"/>
        </w:numPr>
        <w:jc w:val="both"/>
        <w:rPr>
          <w:rFonts w:asciiTheme="minorHAnsi" w:hAnsiTheme="minorHAnsi" w:cstheme="minorHAnsi"/>
          <w:sz w:val="24"/>
          <w:szCs w:val="24"/>
        </w:rPr>
      </w:pPr>
      <w:r w:rsidRPr="00C044C6">
        <w:rPr>
          <w:rFonts w:asciiTheme="minorHAnsi" w:hAnsiTheme="minorHAnsi" w:cstheme="minorHAnsi"/>
          <w:sz w:val="24"/>
          <w:szCs w:val="24"/>
        </w:rPr>
        <w:t>Who funded the development, and on what terms.</w:t>
      </w:r>
    </w:p>
    <w:p w:rsidR="009F36F1" w:rsidRPr="00C044C6" w:rsidRDefault="00420458" w:rsidP="00C044C6">
      <w:pPr>
        <w:pStyle w:val="ListParagraph"/>
        <w:numPr>
          <w:ilvl w:val="0"/>
          <w:numId w:val="1"/>
        </w:numPr>
        <w:jc w:val="both"/>
        <w:rPr>
          <w:rFonts w:asciiTheme="minorHAnsi" w:hAnsiTheme="minorHAnsi" w:cstheme="minorHAnsi"/>
          <w:sz w:val="24"/>
          <w:szCs w:val="24"/>
        </w:rPr>
      </w:pPr>
      <w:r w:rsidRPr="00C044C6">
        <w:rPr>
          <w:rFonts w:asciiTheme="minorHAnsi" w:hAnsiTheme="minorHAnsi" w:cstheme="minorHAnsi"/>
          <w:sz w:val="24"/>
          <w:szCs w:val="24"/>
        </w:rPr>
        <w:t>Who made the decisions</w:t>
      </w:r>
      <w:r w:rsidRPr="00C044C6">
        <w:rPr>
          <w:rFonts w:asciiTheme="minorHAnsi" w:hAnsiTheme="minorHAnsi" w:cstheme="minorHAnsi"/>
          <w:sz w:val="24"/>
          <w:szCs w:val="24"/>
        </w:rPr>
        <w:t xml:space="preserve"> that actually shaped the </w:t>
      </w:r>
      <w:proofErr w:type="gramStart"/>
      <w:r w:rsidRPr="00C044C6">
        <w:rPr>
          <w:rFonts w:asciiTheme="minorHAnsi" w:hAnsiTheme="minorHAnsi" w:cstheme="minorHAnsi"/>
          <w:sz w:val="24"/>
          <w:szCs w:val="24"/>
        </w:rPr>
        <w:t>outcome.</w:t>
      </w:r>
      <w:proofErr w:type="gramEnd"/>
    </w:p>
    <w:p w:rsidR="009F36F1" w:rsidRPr="00C044C6" w:rsidRDefault="00420458" w:rsidP="00C044C6">
      <w:pPr>
        <w:pStyle w:val="ListParagraph"/>
        <w:numPr>
          <w:ilvl w:val="0"/>
          <w:numId w:val="1"/>
        </w:numPr>
        <w:jc w:val="both"/>
        <w:rPr>
          <w:rFonts w:asciiTheme="minorHAnsi" w:hAnsiTheme="minorHAnsi" w:cstheme="minorHAnsi"/>
          <w:sz w:val="24"/>
          <w:szCs w:val="24"/>
        </w:rPr>
      </w:pPr>
      <w:r w:rsidRPr="00C044C6">
        <w:rPr>
          <w:rFonts w:asciiTheme="minorHAnsi" w:hAnsiTheme="minorHAnsi" w:cstheme="minorHAnsi"/>
          <w:sz w:val="24"/>
          <w:szCs w:val="24"/>
        </w:rPr>
        <w:t xml:space="preserve">Who bears the consequence if the effort </w:t>
      </w:r>
      <w:proofErr w:type="gramStart"/>
      <w:r w:rsidRPr="00C044C6">
        <w:rPr>
          <w:rFonts w:asciiTheme="minorHAnsi" w:hAnsiTheme="minorHAnsi" w:cstheme="minorHAnsi"/>
          <w:sz w:val="24"/>
          <w:szCs w:val="24"/>
        </w:rPr>
        <w:t>fails.</w:t>
      </w:r>
      <w:proofErr w:type="gramEnd"/>
    </w:p>
    <w:p w:rsidR="009F36F1" w:rsidRPr="00C044C6" w:rsidRDefault="00420458" w:rsidP="00C044C6">
      <w:pPr>
        <w:pStyle w:val="ListParagraph"/>
        <w:numPr>
          <w:ilvl w:val="0"/>
          <w:numId w:val="1"/>
        </w:numPr>
        <w:jc w:val="both"/>
        <w:rPr>
          <w:rFonts w:asciiTheme="minorHAnsi" w:hAnsiTheme="minorHAnsi" w:cstheme="minorHAnsi"/>
          <w:sz w:val="24"/>
          <w:szCs w:val="24"/>
        </w:rPr>
      </w:pPr>
      <w:r w:rsidRPr="00C044C6">
        <w:rPr>
          <w:rFonts w:asciiTheme="minorHAnsi" w:hAnsiTheme="minorHAnsi" w:cstheme="minorHAnsi"/>
          <w:sz w:val="24"/>
          <w:szCs w:val="24"/>
        </w:rPr>
        <w:t>Whether the return is fixed, or tied to the success of what was built.</w:t>
      </w:r>
    </w:p>
    <w:p w:rsidR="009F36F1" w:rsidRPr="00C044C6" w:rsidRDefault="00420458" w:rsidP="00C044C6">
      <w:pPr>
        <w:pStyle w:val="ListParagraph"/>
        <w:numPr>
          <w:ilvl w:val="0"/>
          <w:numId w:val="1"/>
        </w:numPr>
        <w:jc w:val="both"/>
        <w:rPr>
          <w:rFonts w:asciiTheme="minorHAnsi" w:hAnsiTheme="minorHAnsi" w:cstheme="minorHAnsi"/>
          <w:sz w:val="24"/>
          <w:szCs w:val="24"/>
        </w:rPr>
      </w:pPr>
      <w:r w:rsidRPr="00C044C6">
        <w:rPr>
          <w:rFonts w:asciiTheme="minorHAnsi" w:hAnsiTheme="minorHAnsi" w:cstheme="minorHAnsi"/>
          <w:sz w:val="24"/>
          <w:szCs w:val="24"/>
        </w:rPr>
        <w:t>What the parties actually did, measured against what the paperwork says they did.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lastRenderedPageBreak/>
        <w:t>None of these questi</w:t>
      </w:r>
      <w:r w:rsidRPr="00C044C6">
        <w:rPr>
          <w:rFonts w:asciiTheme="minorHAnsi" w:hAnsiTheme="minorHAnsi" w:cstheme="minorHAnsi"/>
          <w:sz w:val="24"/>
          <w:szCs w:val="24"/>
        </w:rPr>
        <w:t>ons have an obviously right answer for Falcon. That, the manager pointed out, was precisely the TPO's point in asking them.</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RISK BEHIND THE RISK</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had assumed the worst outcome of the audit was a disagreement over the size of India's share.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He no</w:t>
      </w:r>
      <w:r w:rsidRPr="00C044C6">
        <w:rPr>
          <w:rFonts w:asciiTheme="minorHAnsi" w:hAnsiTheme="minorHAnsi" w:cstheme="minorHAnsi"/>
          <w:sz w:val="24"/>
          <w:szCs w:val="24"/>
        </w:rPr>
        <w:t>w understood there was a worse outcome behind it.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If the arrangement was, in substance, closer to a CCA that was never properly documented or compensated as one, India's engineering team could be found to have made an unremunerated and unique intangible c</w:t>
      </w:r>
      <w:r w:rsidRPr="00C044C6">
        <w:rPr>
          <w:rFonts w:asciiTheme="minorHAnsi" w:hAnsiTheme="minorHAnsi" w:cstheme="minorHAnsi"/>
          <w:sz w:val="24"/>
          <w:szCs w:val="24"/>
        </w:rPr>
        <w:t>ontribution, one for which no cost-sharing arrangement existed, and for which no buy-in or ongoing return had ever been formally agreed.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That is a materially different finding than “your profit split percentage should have been 58% instead of 62%.” It raises the possibility of a much larger adjustment, and potentially draws in Section 170's secondary adjustment provisions, which require exc</w:t>
      </w:r>
      <w:r w:rsidRPr="00C044C6">
        <w:rPr>
          <w:rFonts w:asciiTheme="minorHAnsi" w:hAnsiTheme="minorHAnsi" w:cstheme="minorHAnsi"/>
          <w:sz w:val="24"/>
          <w:szCs w:val="24"/>
        </w:rPr>
        <w:t>ess money arising from a primary adjustment to be repatriated to India within the prescribed period, failing which it is deemed to carry notional interest.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“We were arguing about how to slice the residual,” the manager said. “The TPO wants to know whether</w:t>
      </w:r>
      <w:r w:rsidRPr="00C044C6">
        <w:rPr>
          <w:rFonts w:asciiTheme="minorHAnsi" w:hAnsiTheme="minorHAnsi" w:cstheme="minorHAnsi"/>
          <w:sz w:val="24"/>
          <w:szCs w:val="24"/>
        </w:rPr>
        <w:t xml:space="preserve"> we ever had the right to a share of it in the first place, or whether it should have been priced very differently from the start.”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sat back.</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“So the safest position is not the one that maximizes India's percentage.”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safest position is the on</w:t>
      </w:r>
      <w:r w:rsidRPr="00C044C6">
        <w:rPr>
          <w:rFonts w:asciiTheme="minorHAnsi" w:hAnsiTheme="minorHAnsi" w:cstheme="minorHAnsi"/>
          <w:sz w:val="24"/>
          <w:szCs w:val="24"/>
        </w:rPr>
        <w:t>e that matches what actually happened. Nothing more, and nothing less.”</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CONTRACT VS CONDUCT, AGAIN</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Legal returned to the intercompany agreement one more time.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It still described India'</w:t>
      </w:r>
      <w:r w:rsidRPr="00C044C6">
        <w:rPr>
          <w:rFonts w:asciiTheme="minorHAnsi" w:hAnsiTheme="minorHAnsi" w:cstheme="minorHAnsi"/>
          <w:sz w:val="24"/>
          <w:szCs w:val="24"/>
        </w:rPr>
        <w:t xml:space="preserve">s role as engineering support services. It still said the U.S. </w:t>
      </w:r>
      <w:proofErr w:type="gramStart"/>
      <w:r w:rsidRPr="00C044C6">
        <w:rPr>
          <w:rFonts w:asciiTheme="minorHAnsi" w:hAnsiTheme="minorHAnsi" w:cstheme="minorHAnsi"/>
          <w:sz w:val="24"/>
          <w:szCs w:val="24"/>
        </w:rPr>
        <w:t>company</w:t>
      </w:r>
      <w:proofErr w:type="gramEnd"/>
      <w:r w:rsidRPr="00C044C6">
        <w:rPr>
          <w:rFonts w:asciiTheme="minorHAnsi" w:hAnsiTheme="minorHAnsi" w:cstheme="minorHAnsi"/>
          <w:sz w:val="24"/>
          <w:szCs w:val="24"/>
        </w:rPr>
        <w:t xml:space="preserve"> owned the resulting IP outright.</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“That has not changed,” the manager said. “What has changed is the question we are answering. Earlier, we were asking: does the contract match the func</w:t>
      </w:r>
      <w:r w:rsidRPr="00C044C6">
        <w:rPr>
          <w:rFonts w:asciiTheme="minorHAnsi" w:hAnsiTheme="minorHAnsi" w:cstheme="minorHAnsi"/>
          <w:sz w:val="24"/>
          <w:szCs w:val="24"/>
        </w:rPr>
        <w:t>tions performed closely enough to justify Profit Split as a pricing method within a services characterization. Now we are being asked something prior to that: was this ever a services arrangement in substance at all.”</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Rule 79 of the Income-tax Rules, 2026</w:t>
      </w:r>
      <w:r w:rsidRPr="00C044C6">
        <w:rPr>
          <w:rFonts w:asciiTheme="minorHAnsi" w:hAnsiTheme="minorHAnsi" w:cstheme="minorHAnsi"/>
          <w:sz w:val="24"/>
          <w:szCs w:val="24"/>
        </w:rPr>
        <w:t xml:space="preserve">, in the same manner as the erstwhile Rule 10B, still requires comparability to be judged with reference to the actual functions performed, assets </w:t>
      </w:r>
      <w:r w:rsidRPr="00C044C6">
        <w:rPr>
          <w:rFonts w:asciiTheme="minorHAnsi" w:hAnsiTheme="minorHAnsi" w:cstheme="minorHAnsi"/>
          <w:sz w:val="24"/>
          <w:szCs w:val="24"/>
        </w:rPr>
        <w:lastRenderedPageBreak/>
        <w:t>employed and risks assumed, read together with the contractual terms, not the contractual terms alone.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 xml:space="preserve">“The </w:t>
      </w:r>
      <w:r w:rsidRPr="00C044C6">
        <w:rPr>
          <w:rFonts w:asciiTheme="minorHAnsi" w:hAnsiTheme="minorHAnsi" w:cstheme="minorHAnsi"/>
          <w:sz w:val="24"/>
          <w:szCs w:val="24"/>
        </w:rPr>
        <w:t>contract is evidence,” Aarav said. “It was always evidence. I think I understood that as a rule for pricing. I did not understand it could reopen the entire characterization.”</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MEETING AT 5:30 P.M.</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By late afternoon, Aarav had drafted two possible resp</w:t>
      </w:r>
      <w:r w:rsidRPr="00C044C6">
        <w:rPr>
          <w:rFonts w:asciiTheme="minorHAnsi" w:hAnsiTheme="minorHAnsi" w:cstheme="minorHAnsi"/>
          <w:sz w:val="24"/>
          <w:szCs w:val="24"/>
        </w:rPr>
        <w:t>onses.</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first defended the existing characterization: a services arrangement, priced using Profit Split because of India's unique and valuable contribution, supported by the contribution matrix and the splitting factor work already completed.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seco</w:t>
      </w:r>
      <w:r w:rsidRPr="00C044C6">
        <w:rPr>
          <w:rFonts w:asciiTheme="minorHAnsi" w:hAnsiTheme="minorHAnsi" w:cstheme="minorHAnsi"/>
          <w:sz w:val="24"/>
          <w:szCs w:val="24"/>
        </w:rPr>
        <w:t>nd acknowledged that the substance of the arrangement had elements resembling a CCA, and proposed a path to demonstrate, using the facts already on file, why the existing characterization nonetheless remained the more accurate one.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“Which one do we file?”</w:t>
      </w:r>
      <w:r w:rsidRPr="00C044C6">
        <w:rPr>
          <w:rFonts w:asciiTheme="minorHAnsi" w:hAnsiTheme="minorHAnsi" w:cstheme="minorHAnsi"/>
          <w:sz w:val="24"/>
          <w:szCs w:val="24"/>
        </w:rPr>
        <w:t xml:space="preserve"> Aarav asked.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The manager did not answer directly.</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 xml:space="preserve">“Before you choose a </w:t>
      </w:r>
      <w:proofErr w:type="spellStart"/>
      <w:r w:rsidRPr="00C044C6">
        <w:rPr>
          <w:rFonts w:asciiTheme="minorHAnsi" w:hAnsiTheme="minorHAnsi" w:cstheme="minorHAnsi"/>
          <w:sz w:val="24"/>
          <w:szCs w:val="24"/>
        </w:rPr>
        <w:t>defense</w:t>
      </w:r>
      <w:proofErr w:type="spellEnd"/>
      <w:r w:rsidRPr="00C044C6">
        <w:rPr>
          <w:rFonts w:asciiTheme="minorHAnsi" w:hAnsiTheme="minorHAnsi" w:cstheme="minorHAnsi"/>
          <w:sz w:val="24"/>
          <w:szCs w:val="24"/>
        </w:rPr>
        <w:t xml:space="preserve">,” he said, “go back to the five-year forecast email. The one that said Falcon's commercial success may depend on the architecture built in India. Read it again. Not as a tax </w:t>
      </w:r>
      <w:r w:rsidRPr="00C044C6">
        <w:rPr>
          <w:rFonts w:asciiTheme="minorHAnsi" w:hAnsiTheme="minorHAnsi" w:cstheme="minorHAnsi"/>
          <w:sz w:val="24"/>
          <w:szCs w:val="24"/>
        </w:rPr>
        <w:t>document. As a description of what actually happened between these two teams.”</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THE LESSON</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Every method, every splitting factor, every documentation file exists to answer one question: given what this transaction actually was, what would independent partie</w:t>
      </w:r>
      <w:r w:rsidRPr="00C044C6">
        <w:rPr>
          <w:rFonts w:asciiTheme="minorHAnsi" w:hAnsiTheme="minorHAnsi" w:cstheme="minorHAnsi"/>
          <w:sz w:val="24"/>
          <w:szCs w:val="24"/>
        </w:rPr>
        <w:t>s have agreed to.</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had spent two episodes learning how to answer that question once the transaction was already defined.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b/>
          <w:bCs/>
          <w:sz w:val="24"/>
          <w:szCs w:val="24"/>
        </w:rPr>
        <w:t>Episode 14 taught him something earlier in the sequence: sometimes the hardest, and most consequential, work in transfer pricing is deciding what the transaction actually was in the first place. Get that wrong, and no method, however carefully built, can c</w:t>
      </w:r>
      <w:r w:rsidRPr="00C044C6">
        <w:rPr>
          <w:rFonts w:asciiTheme="minorHAnsi" w:hAnsiTheme="minorHAnsi" w:cstheme="minorHAnsi"/>
          <w:b/>
          <w:bCs/>
          <w:sz w:val="24"/>
          <w:szCs w:val="24"/>
        </w:rPr>
        <w:t>orrect it later.</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pStyle w:val="Heading1"/>
        <w:jc w:val="both"/>
        <w:rPr>
          <w:rFonts w:asciiTheme="minorHAnsi" w:hAnsiTheme="minorHAnsi" w:cstheme="minorHAnsi"/>
          <w:color w:val="auto"/>
          <w:sz w:val="24"/>
          <w:szCs w:val="24"/>
        </w:rPr>
      </w:pPr>
      <w:r w:rsidRPr="00C044C6">
        <w:rPr>
          <w:rFonts w:asciiTheme="minorHAnsi" w:hAnsiTheme="minorHAnsi" w:cstheme="minorHAnsi"/>
          <w:b/>
          <w:bCs/>
          <w:color w:val="auto"/>
          <w:sz w:val="24"/>
          <w:szCs w:val="24"/>
        </w:rPr>
        <w:t>TO BE CONTINUED...</w:t>
      </w: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opened the five-year forecast email one more time, the way the manager had asked.</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This time, he noticed a line he had skipped past twice before, buried in a footnote from the engineering team:</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“India's contribut</w:t>
      </w:r>
      <w:r w:rsidRPr="00C044C6">
        <w:rPr>
          <w:rFonts w:asciiTheme="minorHAnsi" w:hAnsiTheme="minorHAnsi" w:cstheme="minorHAnsi"/>
          <w:sz w:val="24"/>
          <w:szCs w:val="24"/>
        </w:rPr>
        <w:t>ion to the redesigned architecture was expected to continue generating value beyond the current product cycle.”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Beyond the current product cycle.</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Aarav looked up.</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If that sentence was true, Falcon might not be a single transaction at all.</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sz w:val="24"/>
          <w:szCs w:val="24"/>
        </w:rPr>
        <w:t>It might be t</w:t>
      </w:r>
      <w:r w:rsidRPr="00C044C6">
        <w:rPr>
          <w:rFonts w:asciiTheme="minorHAnsi" w:hAnsiTheme="minorHAnsi" w:cstheme="minorHAnsi"/>
          <w:sz w:val="24"/>
          <w:szCs w:val="24"/>
        </w:rPr>
        <w:t>he first year of something much longer.</w:t>
      </w:r>
    </w:p>
    <w:p w:rsidR="009F36F1" w:rsidRPr="00C044C6" w:rsidRDefault="009F36F1" w:rsidP="00C044C6">
      <w:pPr>
        <w:jc w:val="both"/>
        <w:rPr>
          <w:rFonts w:asciiTheme="minorHAnsi" w:hAnsiTheme="minorHAnsi" w:cstheme="minorHAnsi"/>
          <w:sz w:val="24"/>
          <w:szCs w:val="24"/>
        </w:rPr>
      </w:pPr>
    </w:p>
    <w:p w:rsidR="009F36F1" w:rsidRPr="00C044C6" w:rsidRDefault="00420458" w:rsidP="00C044C6">
      <w:pPr>
        <w:jc w:val="both"/>
        <w:rPr>
          <w:rFonts w:asciiTheme="minorHAnsi" w:hAnsiTheme="minorHAnsi" w:cstheme="minorHAnsi"/>
          <w:sz w:val="24"/>
          <w:szCs w:val="24"/>
        </w:rPr>
      </w:pPr>
      <w:r w:rsidRPr="00C044C6">
        <w:rPr>
          <w:rFonts w:asciiTheme="minorHAnsi" w:hAnsiTheme="minorHAnsi" w:cstheme="minorHAnsi"/>
          <w:b/>
          <w:bCs/>
          <w:sz w:val="24"/>
          <w:szCs w:val="24"/>
        </w:rPr>
        <w:t>EPISODE 15: THE TRANSACTION THAT REFUSED TO END</w:t>
      </w:r>
    </w:p>
    <w:sectPr w:rsidR="009F36F1" w:rsidRPr="00C044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075AC3"/>
    <w:multiLevelType w:val="hybridMultilevel"/>
    <w:tmpl w:val="6C068FE6"/>
    <w:lvl w:ilvl="0" w:tplc="F3269072">
      <w:start w:val="1"/>
      <w:numFmt w:val="bullet"/>
      <w:lvlText w:val="●"/>
      <w:lvlJc w:val="left"/>
      <w:pPr>
        <w:ind w:left="720" w:hanging="360"/>
      </w:pPr>
    </w:lvl>
    <w:lvl w:ilvl="1" w:tplc="CC28A474">
      <w:start w:val="1"/>
      <w:numFmt w:val="bullet"/>
      <w:lvlText w:val="○"/>
      <w:lvlJc w:val="left"/>
      <w:pPr>
        <w:ind w:left="1440" w:hanging="360"/>
      </w:pPr>
    </w:lvl>
    <w:lvl w:ilvl="2" w:tplc="86CA9C56">
      <w:start w:val="1"/>
      <w:numFmt w:val="bullet"/>
      <w:lvlText w:val="■"/>
      <w:lvlJc w:val="left"/>
      <w:pPr>
        <w:ind w:left="2160" w:hanging="360"/>
      </w:pPr>
    </w:lvl>
    <w:lvl w:ilvl="3" w:tplc="118EF0FA">
      <w:start w:val="1"/>
      <w:numFmt w:val="bullet"/>
      <w:lvlText w:val="●"/>
      <w:lvlJc w:val="left"/>
      <w:pPr>
        <w:ind w:left="2880" w:hanging="360"/>
      </w:pPr>
    </w:lvl>
    <w:lvl w:ilvl="4" w:tplc="2598AD78">
      <w:start w:val="1"/>
      <w:numFmt w:val="bullet"/>
      <w:lvlText w:val="○"/>
      <w:lvlJc w:val="left"/>
      <w:pPr>
        <w:ind w:left="3600" w:hanging="360"/>
      </w:pPr>
    </w:lvl>
    <w:lvl w:ilvl="5" w:tplc="43044360">
      <w:start w:val="1"/>
      <w:numFmt w:val="bullet"/>
      <w:lvlText w:val="■"/>
      <w:lvlJc w:val="left"/>
      <w:pPr>
        <w:ind w:left="4320" w:hanging="360"/>
      </w:pPr>
    </w:lvl>
    <w:lvl w:ilvl="6" w:tplc="47608680">
      <w:start w:val="1"/>
      <w:numFmt w:val="bullet"/>
      <w:lvlText w:val="●"/>
      <w:lvlJc w:val="left"/>
      <w:pPr>
        <w:ind w:left="5040" w:hanging="360"/>
      </w:pPr>
    </w:lvl>
    <w:lvl w:ilvl="7" w:tplc="4C42FA8A">
      <w:start w:val="1"/>
      <w:numFmt w:val="bullet"/>
      <w:lvlText w:val="●"/>
      <w:lvlJc w:val="left"/>
      <w:pPr>
        <w:ind w:left="5760" w:hanging="360"/>
      </w:pPr>
    </w:lvl>
    <w:lvl w:ilvl="8" w:tplc="312824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6F1"/>
    <w:rsid w:val="00420458"/>
    <w:rsid w:val="009F36F1"/>
    <w:rsid w:val="00C04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FDA1FF-0CD8-44BB-B628-91A89401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2026-09-12T15:28:00Z</dcterms:created>
  <dcterms:modified xsi:type="dcterms:W3CDTF">2026-09-12T15:28:00Z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8b36442d-3ecd-4d34-ae33-c391c01ddde8</vt:lpwstr>
  </property>
</Properties>
</file>