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EDB94D1">
      <w:pPr>
        <w:pStyle w:val="style0"/>
        <w:jc w:val="center"/>
        <w:rPr/>
      </w:pPr>
      <w:r>
        <w:rPr>
          <w:b/>
          <w:sz w:val="32"/>
        </w:rPr>
        <w:t>WEEK 4 INTERNSHIP TASK</w:t>
      </w:r>
    </w:p>
    <w:p w14:paraId="6BD04AD4">
      <w:pPr>
        <w:pStyle w:val="style0"/>
        <w:jc w:val="center"/>
        <w:rPr/>
      </w:pPr>
      <w:r>
        <w:rPr>
          <w:b/>
          <w:sz w:val="48"/>
        </w:rPr>
        <w:t>Security Policy Review, Evaluation,</w:t>
      </w:r>
      <w:r>
        <w:rPr>
          <w:b/>
          <w:sz w:val="48"/>
        </w:rPr>
        <w:br/>
      </w:r>
      <w:r>
        <w:rPr>
          <w:b/>
          <w:sz w:val="48"/>
        </w:rPr>
        <w:t>and Improvement Recommendations</w:t>
      </w:r>
    </w:p>
    <w:p w14:paraId="DBCA7679">
      <w:pPr>
        <w:pStyle w:val="style0"/>
        <w:jc w:val="center"/>
        <w:rPr/>
      </w:pPr>
      <w:r>
        <w:rPr>
          <w:sz w:val="24"/>
        </w:rPr>
        <w:br/>
      </w:r>
      <w:r>
        <w:rPr>
          <w:sz w:val="24"/>
        </w:rPr>
        <w:t>A structured review of a hypothetical Generic Organizational Security Policy</w:t>
      </w:r>
      <w:r>
        <w:rPr>
          <w:sz w:val="24"/>
        </w:rPr>
        <w:br/>
      </w:r>
      <w:r>
        <w:rPr>
          <w:sz w:val="24"/>
        </w:rPr>
        <w:t>benchmarked against contemporary cybersecurity practices</w:t>
      </w:r>
    </w:p>
    <w:p w14:paraId="F9B14E71">
      <w:pPr>
        <w:pStyle w:val="style0"/>
        <w:rPr/>
      </w:pPr>
      <w:r>
        <w:br/>
      </w:r>
    </w:p>
    <w:tbl>
      <w:tblPr>
        <w:tblStyle w:val="style154"/>
        <w:tblW w:w="0" w:type="auto"/>
        <w:jc w:val="center"/>
        <w:tblLook w:val="04A0" w:firstRow="1" w:lastRow="0" w:firstColumn="1" w:lastColumn="0" w:noHBand="0" w:noVBand="1"/>
      </w:tblPr>
      <w:tblGrid>
        <w:gridCol w:w="4968"/>
        <w:gridCol w:w="4968"/>
      </w:tblGrid>
      <w:tr w14:paraId="13BCB9F7">
        <w:trPr>
          <w:jc w:val="center"/>
        </w:trPr>
        <w:tc>
          <w:tcPr>
            <w:tcW w:w="4968" w:type="dxa"/>
            <w:tcBorders/>
            <w:shd w:val="nil" w:color="auto" w:fill="eaf2f8"/>
            <w:vAlign w:val="center"/>
          </w:tcPr>
          <w:p w14:paraId="52465FC8">
            <w:pPr>
              <w:pStyle w:val="style0"/>
              <w:rPr/>
            </w:pPr>
            <w:r>
              <w:rPr>
                <w:rFonts w:ascii="Aptos" w:hAnsi="Aptos"/>
                <w:b/>
                <w:sz w:val="20"/>
              </w:rPr>
              <w:t>Internship Platform</w:t>
            </w:r>
          </w:p>
        </w:tc>
        <w:tc>
          <w:tcPr>
            <w:tcW w:w="4968" w:type="dxa"/>
            <w:tcBorders/>
            <w:vAlign w:val="center"/>
          </w:tcPr>
          <w:p w14:paraId="9C0284AE">
            <w:pPr>
              <w:pStyle w:val="style0"/>
              <w:rPr/>
            </w:pPr>
            <w:r>
              <w:rPr>
                <w:rFonts w:ascii="Aptos" w:hAnsi="Aptos"/>
                <w:b w:val="false"/>
                <w:sz w:val="20"/>
              </w:rPr>
              <w:t>YUV Intern</w:t>
            </w:r>
          </w:p>
        </w:tc>
      </w:tr>
      <w:tr w14:paraId="5EA107E4">
        <w:tblPrEx/>
        <w:trPr>
          <w:jc w:val="center"/>
        </w:trPr>
        <w:tc>
          <w:tcPr>
            <w:tcW w:w="4968" w:type="dxa"/>
            <w:tcBorders/>
            <w:shd w:val="nil" w:color="auto" w:fill="eaf2f8"/>
            <w:vAlign w:val="center"/>
          </w:tcPr>
          <w:p w14:paraId="546395DE">
            <w:pPr>
              <w:pStyle w:val="style0"/>
              <w:rPr/>
            </w:pPr>
            <w:r>
              <w:rPr>
                <w:rFonts w:ascii="Aptos" w:hAnsi="Aptos"/>
                <w:b/>
                <w:sz w:val="20"/>
              </w:rPr>
              <w:t>Task</w:t>
            </w:r>
          </w:p>
        </w:tc>
        <w:tc>
          <w:tcPr>
            <w:tcW w:w="4968" w:type="dxa"/>
            <w:tcBorders/>
            <w:vAlign w:val="center"/>
          </w:tcPr>
          <w:p w14:paraId="8AE9D3CB">
            <w:pPr>
              <w:pStyle w:val="style0"/>
              <w:rPr/>
            </w:pPr>
            <w:r>
              <w:rPr>
                <w:rFonts w:ascii="Aptos" w:hAnsi="Aptos"/>
                <w:b w:val="false"/>
                <w:sz w:val="20"/>
              </w:rPr>
              <w:t>Week 4 – Security Policy Review</w:t>
            </w:r>
          </w:p>
        </w:tc>
      </w:tr>
      <w:tr w14:paraId="3EB4615B">
        <w:tblPrEx/>
        <w:trPr>
          <w:jc w:val="center"/>
        </w:trPr>
        <w:tc>
          <w:tcPr>
            <w:tcW w:w="4968" w:type="dxa"/>
            <w:tcBorders/>
            <w:shd w:val="nil" w:color="auto" w:fill="eaf2f8"/>
            <w:vAlign w:val="center"/>
          </w:tcPr>
          <w:p w14:paraId="08C72552">
            <w:pPr>
              <w:pStyle w:val="style0"/>
              <w:rPr/>
            </w:pPr>
            <w:r>
              <w:rPr>
                <w:rFonts w:ascii="Aptos" w:hAnsi="Aptos"/>
                <w:b/>
                <w:sz w:val="20"/>
              </w:rPr>
              <w:t>Student Name</w:t>
            </w:r>
          </w:p>
        </w:tc>
        <w:tc>
          <w:tcPr>
            <w:tcW w:w="4968" w:type="dxa"/>
            <w:tcBorders/>
            <w:vAlign w:val="center"/>
          </w:tcPr>
          <w:p w14:paraId="64EA6E93">
            <w:pPr>
              <w:pStyle w:val="style0"/>
              <w:rPr/>
            </w:pPr>
            <w:r>
              <w:rPr>
                <w:rFonts w:hAnsi="Aptos"/>
                <w:b w:val="false"/>
                <w:sz w:val="20"/>
                <w:lang w:val="en-US"/>
              </w:rPr>
              <w:t>Priyanshi Vasantbhai patel</w:t>
            </w:r>
          </w:p>
        </w:tc>
      </w:tr>
      <w:tr w14:paraId="263A0778">
        <w:tblPrEx/>
        <w:trPr>
          <w:jc w:val="center"/>
        </w:trPr>
        <w:tc>
          <w:tcPr>
            <w:tcW w:w="4968" w:type="dxa"/>
            <w:tcBorders/>
            <w:shd w:val="nil" w:color="auto" w:fill="eaf2f8"/>
            <w:vAlign w:val="center"/>
          </w:tcPr>
          <w:p w14:paraId="58BE841B">
            <w:pPr>
              <w:pStyle w:val="style0"/>
              <w:rPr/>
            </w:pPr>
            <w:r>
              <w:rPr>
                <w:rFonts w:ascii="Aptos" w:hAnsi="Aptos"/>
                <w:b/>
                <w:sz w:val="20"/>
              </w:rPr>
              <w:t>Course / Program</w:t>
            </w:r>
          </w:p>
        </w:tc>
        <w:tc>
          <w:tcPr>
            <w:tcW w:w="4968" w:type="dxa"/>
            <w:tcBorders/>
            <w:vAlign w:val="center"/>
          </w:tcPr>
          <w:p w14:paraId="534B5B93">
            <w:pPr>
              <w:pStyle w:val="style0"/>
              <w:rPr/>
            </w:pPr>
            <w:r>
              <w:rPr>
                <w:rFonts w:ascii="Aptos" w:hAnsi="Aptos"/>
                <w:b w:val="false"/>
                <w:sz w:val="20"/>
              </w:rPr>
              <w:t>B.Sc. IT / Cyber Security</w:t>
            </w:r>
          </w:p>
        </w:tc>
      </w:tr>
      <w:tr w14:paraId="D54F9E21">
        <w:tblPrEx/>
        <w:trPr>
          <w:jc w:val="center"/>
        </w:trPr>
        <w:tc>
          <w:tcPr>
            <w:tcW w:w="4968" w:type="dxa"/>
            <w:tcBorders/>
            <w:shd w:val="nil" w:color="auto" w:fill="eaf2f8"/>
            <w:vAlign w:val="center"/>
          </w:tcPr>
          <w:p w14:paraId="7DAB9784">
            <w:pPr>
              <w:pStyle w:val="style0"/>
              <w:rPr/>
            </w:pPr>
            <w:r>
              <w:rPr>
                <w:rFonts w:ascii="Aptos" w:hAnsi="Aptos"/>
                <w:b/>
                <w:sz w:val="20"/>
              </w:rPr>
              <w:t>Date</w:t>
            </w:r>
          </w:p>
        </w:tc>
        <w:tc>
          <w:tcPr>
            <w:tcW w:w="4968" w:type="dxa"/>
            <w:tcBorders/>
            <w:vAlign w:val="center"/>
          </w:tcPr>
          <w:p w14:paraId="A802510D">
            <w:pPr>
              <w:pStyle w:val="style0"/>
              <w:rPr/>
            </w:pPr>
            <w:r>
              <w:rPr>
                <w:rFonts w:hAnsi="Aptos"/>
                <w:b w:val="false"/>
                <w:sz w:val="20"/>
                <w:lang w:val="en-US"/>
              </w:rPr>
              <w:t xml:space="preserve">1st October </w:t>
            </w:r>
            <w:r>
              <w:rPr>
                <w:rFonts w:ascii="Aptos" w:hAnsi="Aptos"/>
                <w:b w:val="false"/>
                <w:sz w:val="20"/>
              </w:rPr>
              <w:t>2026</w:t>
            </w:r>
          </w:p>
        </w:tc>
      </w:tr>
    </w:tbl>
    <w:p w14:paraId="A8EEE15C">
      <w:pPr>
        <w:pStyle w:val="style0"/>
        <w:jc w:val="center"/>
        <w:rPr/>
      </w:pPr>
      <w:r>
        <w:rPr>
          <w:i/>
        </w:rPr>
        <w:br/>
      </w:r>
      <w:r>
        <w:rPr>
          <w:i/>
        </w:rPr>
        <w:t>Prepared for internship submission</w:t>
      </w:r>
    </w:p>
    <w:p w14:paraId="A98E00AE">
      <w:pPr>
        <w:pStyle w:val="style0"/>
        <w:rPr/>
      </w:pPr>
      <w:r>
        <w:br w:type="page"/>
      </w:r>
    </w:p>
    <w:p w14:paraId="D2EEFE9A">
      <w:pPr>
        <w:pStyle w:val="style1"/>
        <w:rPr/>
      </w:pPr>
      <w:r>
        <w:t>1. Executive Summary</w:t>
      </w:r>
    </w:p>
    <w:p w14:paraId="88C9C46D">
      <w:pPr>
        <w:pStyle w:val="style0"/>
        <w:rPr/>
      </w:pPr>
      <w:r>
        <w:t>This report reviews a hypothetical Generic Organizational Security Policy for a medium-sized organization. The policy covers access control, data protection, incident response, acceptable use, passwords and authentication, remote work, security awareness, backups, third-party access, and policy review.</w:t>
      </w:r>
    </w:p>
    <w:p w14:paraId="0A23A010">
      <w:pPr>
        <w:pStyle w:val="style0"/>
        <w:rPr/>
      </w:pPr>
      <w:r>
        <w:t>The review uses NIST Cybersecurity Framework (CSF) 2.0 as the main benchmarking framework, supported by ISO/IEC 27001:2022 and NIST SP 800-53 Rev. 5. NIST CSF 2.0 organizes cybersecurity outcomes into six Functions: Govern, Identify, Protect, Detect, Respond, and Recover. ISO/IEC 27001:2022 defines requirements for an information security management system (ISMS), while NIST SP 800-53 Rev. 5 provides a broad catalog of security and privacy controls.</w:t>
      </w:r>
    </w:p>
    <w:p w14:paraId="27D20711">
      <w:pPr>
        <w:pStyle w:val="style0"/>
        <w:rPr/>
      </w:pPr>
      <w:r>
        <w:t>The hypothetical policy has several useful foundations, particularly basic access control, password rules, incident reporting, employee awareness, and backups. However, it has important gaps if it is expected to support a modern security program. The main improvements recommended are stronger identity and access management, multi-factor authentication, risk-based asset management, centralized logging and monitoring, formal incident-response procedures and exercises, tested backups, third-party risk management, secure configuration and patching, clearer data classification, measurable security metrics, and regular policy review.</w:t>
      </w:r>
    </w:p>
    <w:p w14:paraId="3F393195">
      <w:pPr>
        <w:pStyle w:val="style1"/>
        <w:rPr/>
      </w:pPr>
      <w:r>
        <w:t>2. Scope and Methodology</w:t>
      </w:r>
    </w:p>
    <w:p w14:paraId="E8FCEA96">
      <w:pPr>
        <w:pStyle w:val="style0"/>
        <w:rPr/>
      </w:pPr>
      <w:r>
        <w:t>The assignment asks for a critical review of an existing generic policy. Because no confidential organizational policy was supplied, this report creates a hypothetical baseline policy for evaluation. This avoids making claims about a real organization's controls.</w:t>
      </w:r>
    </w:p>
    <w:p w14:paraId="85B73697">
      <w:pPr>
        <w:pStyle w:val="style49"/>
        <w:spacing w:after="40"/>
        <w:rPr/>
      </w:pPr>
      <w:r>
        <w:t>Define the hypothetical organization and baseline security policy.</w:t>
      </w:r>
    </w:p>
    <w:p w14:paraId="6226D26C">
      <w:pPr>
        <w:pStyle w:val="style49"/>
        <w:spacing w:after="40"/>
        <w:rPr/>
      </w:pPr>
      <w:r>
        <w:t>Map major policy areas to NIST CSF 2.0 Functions and relevant security-control concepts.</w:t>
      </w:r>
    </w:p>
    <w:p w14:paraId="6C1C925B">
      <w:pPr>
        <w:pStyle w:val="style49"/>
        <w:spacing w:after="40"/>
        <w:rPr/>
      </w:pPr>
      <w:r>
        <w:t>Identify strengths, weaknesses, missing controls, and potentially outdated practices.</w:t>
      </w:r>
    </w:p>
    <w:p w14:paraId="E6C0C60A">
      <w:pPr>
        <w:pStyle w:val="style49"/>
        <w:spacing w:after="40"/>
        <w:rPr/>
      </w:pPr>
      <w:r>
        <w:t>Compare the baseline with contemporary practices described by NIST and ISO/IEC 27001.</w:t>
      </w:r>
    </w:p>
    <w:p w14:paraId="65AAA35D">
      <w:pPr>
        <w:pStyle w:val="style49"/>
        <w:spacing w:after="40"/>
        <w:rPr/>
      </w:pPr>
      <w:r>
        <w:t>Develop actionable recommendations, priorities, owners, and implementation timeframes.</w:t>
      </w:r>
    </w:p>
    <w:p w14:paraId="14C25EA4">
      <w:pPr>
        <w:pStyle w:val="style49"/>
        <w:spacing w:after="40"/>
        <w:rPr/>
      </w:pPr>
      <w:r>
        <w:t>Define measurable indicators that can be used to track improvement.</w:t>
      </w:r>
    </w:p>
    <w:p w14:paraId="51CC5CCD">
      <w:pPr>
        <w:pStyle w:val="style1"/>
        <w:rPr/>
      </w:pPr>
      <w:r>
        <w:t>3. Industry Standards and Best-Practice Benchmark</w:t>
      </w:r>
    </w:p>
    <w:p w14:paraId="FB26647E">
      <w:pPr>
        <w:pStyle w:val="style0"/>
        <w:jc w:val="center"/>
        <w:rPr/>
      </w:pPr>
      <w:r>
        <w:rPr/>
        <w:drawing>
          <wp:inline distL="0" distT="0" distB="0" distR="0">
            <wp:extent cx="5577840" cy="4412321"/>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577840" cy="4412321"/>
                    </a:xfrm>
                    <a:prstGeom prst="rect"/>
                  </pic:spPr>
                </pic:pic>
              </a:graphicData>
            </a:graphic>
          </wp:inline>
        </w:drawing>
      </w:r>
    </w:p>
    <w:p w14:paraId="4070CDB4">
      <w:pPr>
        <w:pStyle w:val="style0"/>
        <w:jc w:val="center"/>
        <w:rPr/>
      </w:pPr>
      <w:r>
        <w:rPr>
          <w:i/>
          <w:sz w:val="18"/>
        </w:rPr>
        <w:t>Figure 1. NIST CSF 2.0 cybersecurity lifecycle: Govern → Identify → Protect → Detect → Respond → Recover.</w:t>
      </w:r>
    </w:p>
    <w:p w14:paraId="E58FB552">
      <w:pPr>
        <w:pStyle w:val="style0"/>
        <w:rPr/>
      </w:pPr>
      <w:r>
        <w:t>The benchmark is intentionally practical rather than treating any framework as a simple checklist. NIST CSF 2.0 is outcome-oriented and is designed to help organizations understand, assess, prioritize, and communicate cybersecurity risk. It does not prescribe a single implementation method.</w:t>
      </w:r>
    </w:p>
    <w:tbl>
      <w:tblPr>
        <w:tblStyle w:val="style154"/>
        <w:tblW w:w="0" w:type="auto"/>
        <w:jc w:val="center"/>
        <w:tblLook w:val="04A0" w:firstRow="1" w:lastRow="0" w:firstColumn="1" w:lastColumn="0" w:noHBand="0" w:noVBand="1"/>
      </w:tblPr>
      <w:tblGrid>
        <w:gridCol w:w="3312"/>
        <w:gridCol w:w="3312"/>
        <w:gridCol w:w="3312"/>
      </w:tblGrid>
      <w:tr w14:paraId="00B6189C">
        <w:trPr>
          <w:jc w:val="center"/>
        </w:trPr>
        <w:tc>
          <w:tcPr>
            <w:tcW w:w="3312" w:type="dxa"/>
            <w:tcBorders/>
            <w:shd w:val="nil" w:color="auto" w:fill="d9eaf7"/>
            <w:vAlign w:val="center"/>
          </w:tcPr>
          <w:p w14:paraId="917C1726">
            <w:pPr>
              <w:pStyle w:val="style0"/>
              <w:rPr/>
            </w:pPr>
            <w:r>
              <w:rPr>
                <w:rFonts w:ascii="Aptos" w:hAnsi="Aptos"/>
                <w:b/>
                <w:sz w:val="18"/>
              </w:rPr>
              <w:t>Framework / Standard</w:t>
            </w:r>
          </w:p>
        </w:tc>
        <w:tc>
          <w:tcPr>
            <w:tcW w:w="3312" w:type="dxa"/>
            <w:tcBorders/>
            <w:shd w:val="nil" w:color="auto" w:fill="d9eaf7"/>
            <w:vAlign w:val="center"/>
          </w:tcPr>
          <w:p w14:paraId="AEB2FD8B">
            <w:pPr>
              <w:pStyle w:val="style0"/>
              <w:rPr/>
            </w:pPr>
            <w:r>
              <w:rPr>
                <w:rFonts w:ascii="Aptos" w:hAnsi="Aptos"/>
                <w:b/>
                <w:sz w:val="18"/>
              </w:rPr>
              <w:t>Main purpose</w:t>
            </w:r>
          </w:p>
        </w:tc>
        <w:tc>
          <w:tcPr>
            <w:tcW w:w="3312" w:type="dxa"/>
            <w:tcBorders/>
            <w:shd w:val="nil" w:color="auto" w:fill="d9eaf7"/>
            <w:vAlign w:val="center"/>
          </w:tcPr>
          <w:p w14:paraId="56DD5086">
            <w:pPr>
              <w:pStyle w:val="style0"/>
              <w:rPr/>
            </w:pPr>
            <w:r>
              <w:rPr>
                <w:rFonts w:ascii="Aptos" w:hAnsi="Aptos"/>
                <w:b/>
                <w:sz w:val="18"/>
              </w:rPr>
              <w:t>How used in this review</w:t>
            </w:r>
          </w:p>
        </w:tc>
      </w:tr>
      <w:tr w14:paraId="EC86952B">
        <w:tblPrEx/>
        <w:trPr>
          <w:jc w:val="center"/>
        </w:trPr>
        <w:tc>
          <w:tcPr>
            <w:tcW w:w="3312" w:type="dxa"/>
            <w:tcBorders/>
            <w:vAlign w:val="center"/>
          </w:tcPr>
          <w:p w14:paraId="E7023773">
            <w:pPr>
              <w:pStyle w:val="style0"/>
              <w:rPr/>
            </w:pPr>
            <w:r>
              <w:rPr>
                <w:rFonts w:ascii="Aptos" w:hAnsi="Aptos"/>
                <w:b w:val="false"/>
                <w:sz w:val="17"/>
              </w:rPr>
              <w:t>NIST CSF 2.0</w:t>
            </w:r>
          </w:p>
        </w:tc>
        <w:tc>
          <w:tcPr>
            <w:tcW w:w="3312" w:type="dxa"/>
            <w:tcBorders/>
            <w:vAlign w:val="center"/>
          </w:tcPr>
          <w:p w14:paraId="EC76C583">
            <w:pPr>
              <w:pStyle w:val="style0"/>
              <w:rPr/>
            </w:pPr>
            <w:r>
              <w:rPr>
                <w:rFonts w:ascii="Aptos" w:hAnsi="Aptos"/>
                <w:b w:val="false"/>
                <w:sz w:val="17"/>
              </w:rPr>
              <w:t>Risk-management framework with six Functions: Govern, Identify, Protect, Detect, Respond, Recover.</w:t>
            </w:r>
          </w:p>
        </w:tc>
        <w:tc>
          <w:tcPr>
            <w:tcW w:w="3312" w:type="dxa"/>
            <w:tcBorders/>
            <w:vAlign w:val="center"/>
          </w:tcPr>
          <w:p w14:paraId="06963BC8">
            <w:pPr>
              <w:pStyle w:val="style0"/>
              <w:rPr/>
            </w:pPr>
            <w:r>
              <w:rPr>
                <w:rFonts w:ascii="Aptos" w:hAnsi="Aptos"/>
                <w:b w:val="false"/>
                <w:sz w:val="17"/>
              </w:rPr>
              <w:t>Primary structure for evaluating policy coverage and lifecycle.</w:t>
            </w:r>
          </w:p>
        </w:tc>
      </w:tr>
      <w:tr w14:paraId="084B6240">
        <w:tblPrEx/>
        <w:trPr>
          <w:jc w:val="center"/>
        </w:trPr>
        <w:tc>
          <w:tcPr>
            <w:tcW w:w="3312" w:type="dxa"/>
            <w:tcBorders/>
            <w:vAlign w:val="center"/>
          </w:tcPr>
          <w:p w14:paraId="FE49D58A">
            <w:pPr>
              <w:pStyle w:val="style0"/>
              <w:rPr/>
            </w:pPr>
            <w:r>
              <w:rPr>
                <w:rFonts w:ascii="Aptos" w:hAnsi="Aptos"/>
                <w:b w:val="false"/>
                <w:sz w:val="17"/>
              </w:rPr>
              <w:t>ISO/IEC 27001:2022</w:t>
            </w:r>
          </w:p>
        </w:tc>
        <w:tc>
          <w:tcPr>
            <w:tcW w:w="3312" w:type="dxa"/>
            <w:tcBorders/>
            <w:vAlign w:val="center"/>
          </w:tcPr>
          <w:p w14:paraId="6EAB5DF1">
            <w:pPr>
              <w:pStyle w:val="style0"/>
              <w:rPr/>
            </w:pPr>
            <w:r>
              <w:rPr>
                <w:rFonts w:ascii="Aptos" w:hAnsi="Aptos"/>
                <w:b w:val="false"/>
                <w:sz w:val="17"/>
              </w:rPr>
              <w:t>Requirements for an Information Security Management System (ISMS).</w:t>
            </w:r>
          </w:p>
        </w:tc>
        <w:tc>
          <w:tcPr>
            <w:tcW w:w="3312" w:type="dxa"/>
            <w:tcBorders/>
            <w:vAlign w:val="center"/>
          </w:tcPr>
          <w:p w14:paraId="C8037E3C">
            <w:pPr>
              <w:pStyle w:val="style0"/>
              <w:rPr/>
            </w:pPr>
            <w:r>
              <w:rPr>
                <w:rFonts w:ascii="Aptos" w:hAnsi="Aptos"/>
                <w:b w:val="false"/>
                <w:sz w:val="17"/>
              </w:rPr>
              <w:t>Benchmark for governance, risk management, continual improvement, and systematic security management.</w:t>
            </w:r>
          </w:p>
        </w:tc>
      </w:tr>
      <w:tr w14:paraId="55AB9123">
        <w:tblPrEx/>
        <w:trPr>
          <w:jc w:val="center"/>
        </w:trPr>
        <w:tc>
          <w:tcPr>
            <w:tcW w:w="3312" w:type="dxa"/>
            <w:tcBorders/>
            <w:vAlign w:val="center"/>
          </w:tcPr>
          <w:p w14:paraId="D10555EB">
            <w:pPr>
              <w:pStyle w:val="style0"/>
              <w:rPr/>
            </w:pPr>
            <w:r>
              <w:rPr>
                <w:rFonts w:ascii="Aptos" w:hAnsi="Aptos"/>
                <w:b w:val="false"/>
                <w:sz w:val="17"/>
              </w:rPr>
              <w:t>NIST SP 800-53 Rev. 5</w:t>
            </w:r>
          </w:p>
        </w:tc>
        <w:tc>
          <w:tcPr>
            <w:tcW w:w="3312" w:type="dxa"/>
            <w:tcBorders/>
            <w:vAlign w:val="center"/>
          </w:tcPr>
          <w:p w14:paraId="F2834FA1">
            <w:pPr>
              <w:pStyle w:val="style0"/>
              <w:rPr/>
            </w:pPr>
            <w:r>
              <w:rPr>
                <w:rFonts w:ascii="Aptos" w:hAnsi="Aptos"/>
                <w:b w:val="false"/>
                <w:sz w:val="17"/>
              </w:rPr>
              <w:t>Catalog of security and privacy controls.</w:t>
            </w:r>
          </w:p>
        </w:tc>
        <w:tc>
          <w:tcPr>
            <w:tcW w:w="3312" w:type="dxa"/>
            <w:tcBorders/>
            <w:vAlign w:val="center"/>
          </w:tcPr>
          <w:p w14:paraId="E1A3D093">
            <w:pPr>
              <w:pStyle w:val="style0"/>
              <w:rPr/>
            </w:pPr>
            <w:r>
              <w:rPr>
                <w:rFonts w:ascii="Aptos" w:hAnsi="Aptos"/>
                <w:b w:val="false"/>
                <w:sz w:val="17"/>
              </w:rPr>
              <w:t>Reference for control areas such as access control, audit/accountability, incident response, contingency planning, and supply chain risk.</w:t>
            </w:r>
          </w:p>
        </w:tc>
      </w:tr>
    </w:tbl>
    <w:p w14:paraId="7B31E5A1">
      <w:pPr>
        <w:pStyle w:val="style0"/>
        <w:rPr/>
      </w:pPr>
      <w:r>
        <w:t>NIST CSF 2.0 was published on February 26, 2024. NIST describes its six Functions as Govern, Identify, Protect, Detect, Respond, and Recover. ISO lists ISO/IEC 27001:2022 as the international standard defining requirements for an ISMS. NIST SP 800-53 Rev. 5 contains control families including Access Control, Awareness and Training, Audit and Accountability, Contingency Planning, Identification and Authentication, Incident Response, Risk Assessment, System and Communications Protection, System and Information Integrity, and Supply Chain Risk Management.</w:t>
      </w:r>
    </w:p>
    <w:p w14:paraId="AF6082F7">
      <w:pPr>
        <w:pStyle w:val="style1"/>
        <w:rPr/>
      </w:pPr>
      <w:r>
        <w:t>4. Hypothetical Generic Security Policy – Baseline</w:t>
      </w:r>
    </w:p>
    <w:p w14:paraId="BD68189B">
      <w:pPr>
        <w:pStyle w:val="style0"/>
        <w:rPr/>
      </w:pPr>
      <w:r>
        <w:t>Organization profile: a hypothetical medium-sized organization with approximately 250 employees, office and remote users, cloud services, laptops, an internal network, customer information, and common business applications.</w:t>
      </w:r>
    </w:p>
    <w:tbl>
      <w:tblPr>
        <w:tblStyle w:val="style154"/>
        <w:tblW w:w="0" w:type="auto"/>
        <w:jc w:val="center"/>
        <w:tblLook w:val="04A0" w:firstRow="1" w:lastRow="0" w:firstColumn="1" w:lastColumn="0" w:noHBand="0" w:noVBand="1"/>
      </w:tblPr>
      <w:tblGrid>
        <w:gridCol w:w="4968"/>
        <w:gridCol w:w="4968"/>
      </w:tblGrid>
      <w:tr w14:paraId="9B4846A7">
        <w:trPr>
          <w:jc w:val="center"/>
        </w:trPr>
        <w:tc>
          <w:tcPr>
            <w:tcW w:w="4968" w:type="dxa"/>
            <w:tcBorders/>
            <w:shd w:val="nil" w:color="auto" w:fill="d9eaf7"/>
            <w:vAlign w:val="center"/>
          </w:tcPr>
          <w:p w14:paraId="06A3BFC7">
            <w:pPr>
              <w:pStyle w:val="style0"/>
              <w:rPr/>
            </w:pPr>
            <w:r>
              <w:rPr>
                <w:rFonts w:ascii="Aptos" w:hAnsi="Aptos"/>
                <w:b/>
                <w:sz w:val="18"/>
              </w:rPr>
              <w:t>Policy area</w:t>
            </w:r>
          </w:p>
        </w:tc>
        <w:tc>
          <w:tcPr>
            <w:tcW w:w="4968" w:type="dxa"/>
            <w:tcBorders/>
            <w:shd w:val="nil" w:color="auto" w:fill="d9eaf7"/>
            <w:vAlign w:val="center"/>
          </w:tcPr>
          <w:p w14:paraId="06EB2C3B">
            <w:pPr>
              <w:pStyle w:val="style0"/>
              <w:rPr/>
            </w:pPr>
            <w:r>
              <w:rPr>
                <w:rFonts w:ascii="Aptos" w:hAnsi="Aptos"/>
                <w:b/>
                <w:sz w:val="18"/>
              </w:rPr>
              <w:t>Baseline requirement</w:t>
            </w:r>
          </w:p>
        </w:tc>
      </w:tr>
      <w:tr w14:paraId="35CF69D1">
        <w:tblPrEx/>
        <w:trPr>
          <w:jc w:val="center"/>
        </w:trPr>
        <w:tc>
          <w:tcPr>
            <w:tcW w:w="4968" w:type="dxa"/>
            <w:tcBorders/>
            <w:vAlign w:val="center"/>
          </w:tcPr>
          <w:p w14:paraId="6F0C7C41">
            <w:pPr>
              <w:pStyle w:val="style0"/>
              <w:rPr/>
            </w:pPr>
            <w:r>
              <w:rPr>
                <w:rFonts w:ascii="Aptos" w:hAnsi="Aptos"/>
                <w:b w:val="false"/>
                <w:sz w:val="17"/>
              </w:rPr>
              <w:t>1. Access Control</w:t>
            </w:r>
          </w:p>
        </w:tc>
        <w:tc>
          <w:tcPr>
            <w:tcW w:w="4968" w:type="dxa"/>
            <w:tcBorders/>
            <w:vAlign w:val="center"/>
          </w:tcPr>
          <w:p w14:paraId="9F646056">
            <w:pPr>
              <w:pStyle w:val="style0"/>
              <w:rPr/>
            </w:pPr>
            <w:r>
              <w:rPr>
                <w:rFonts w:ascii="Aptos" w:hAnsi="Aptos"/>
                <w:b w:val="false"/>
                <w:sz w:val="17"/>
              </w:rPr>
              <w:t>Employees receive accounts based on job needs. Managers approve access. Shared accounts should be avoided.</w:t>
            </w:r>
          </w:p>
        </w:tc>
      </w:tr>
      <w:tr w14:paraId="95BEA7B0">
        <w:tblPrEx/>
        <w:trPr>
          <w:jc w:val="center"/>
        </w:trPr>
        <w:tc>
          <w:tcPr>
            <w:tcW w:w="4968" w:type="dxa"/>
            <w:tcBorders/>
            <w:vAlign w:val="center"/>
          </w:tcPr>
          <w:p w14:paraId="1133C594">
            <w:pPr>
              <w:pStyle w:val="style0"/>
              <w:rPr/>
            </w:pPr>
            <w:r>
              <w:rPr>
                <w:rFonts w:ascii="Aptos" w:hAnsi="Aptos"/>
                <w:b w:val="false"/>
                <w:sz w:val="17"/>
              </w:rPr>
              <w:t>2. Passwords</w:t>
            </w:r>
          </w:p>
        </w:tc>
        <w:tc>
          <w:tcPr>
            <w:tcW w:w="4968" w:type="dxa"/>
            <w:tcBorders/>
            <w:vAlign w:val="center"/>
          </w:tcPr>
          <w:p w14:paraId="8ED14BF6">
            <w:pPr>
              <w:pStyle w:val="style0"/>
              <w:rPr/>
            </w:pPr>
            <w:r>
              <w:rPr>
                <w:rFonts w:ascii="Aptos" w:hAnsi="Aptos"/>
                <w:b w:val="false"/>
                <w:sz w:val="17"/>
              </w:rPr>
              <w:t>Users must use strong passwords and change them periodically. Passwords must not be shared.</w:t>
            </w:r>
          </w:p>
        </w:tc>
      </w:tr>
      <w:tr w14:paraId="2E305FF4">
        <w:tblPrEx/>
        <w:trPr>
          <w:jc w:val="center"/>
        </w:trPr>
        <w:tc>
          <w:tcPr>
            <w:tcW w:w="4968" w:type="dxa"/>
            <w:tcBorders/>
            <w:vAlign w:val="center"/>
          </w:tcPr>
          <w:p w14:paraId="7E9165EF">
            <w:pPr>
              <w:pStyle w:val="style0"/>
              <w:rPr/>
            </w:pPr>
            <w:r>
              <w:rPr>
                <w:rFonts w:ascii="Aptos" w:hAnsi="Aptos"/>
                <w:b w:val="false"/>
                <w:sz w:val="17"/>
              </w:rPr>
              <w:t>3. Authentication</w:t>
            </w:r>
          </w:p>
        </w:tc>
        <w:tc>
          <w:tcPr>
            <w:tcW w:w="4968" w:type="dxa"/>
            <w:tcBorders/>
            <w:vAlign w:val="center"/>
          </w:tcPr>
          <w:p w14:paraId="0A38A849">
            <w:pPr>
              <w:pStyle w:val="style0"/>
              <w:rPr/>
            </w:pPr>
            <w:r>
              <w:rPr>
                <w:rFonts w:ascii="Aptos" w:hAnsi="Aptos"/>
                <w:b w:val="false"/>
                <w:sz w:val="17"/>
              </w:rPr>
              <w:t>Administrative accounts should use stronger authentication where available.</w:t>
            </w:r>
          </w:p>
        </w:tc>
      </w:tr>
      <w:tr w14:paraId="DABD2EEE">
        <w:tblPrEx/>
        <w:trPr>
          <w:jc w:val="center"/>
        </w:trPr>
        <w:tc>
          <w:tcPr>
            <w:tcW w:w="4968" w:type="dxa"/>
            <w:tcBorders/>
            <w:vAlign w:val="center"/>
          </w:tcPr>
          <w:p w14:paraId="ADD3856C">
            <w:pPr>
              <w:pStyle w:val="style0"/>
              <w:rPr/>
            </w:pPr>
            <w:r>
              <w:rPr>
                <w:rFonts w:ascii="Aptos" w:hAnsi="Aptos"/>
                <w:b w:val="false"/>
                <w:sz w:val="17"/>
              </w:rPr>
              <w:t>4. Data Protection</w:t>
            </w:r>
          </w:p>
        </w:tc>
        <w:tc>
          <w:tcPr>
            <w:tcW w:w="4968" w:type="dxa"/>
            <w:tcBorders/>
            <w:vAlign w:val="center"/>
          </w:tcPr>
          <w:p w14:paraId="DFCB8FFD">
            <w:pPr>
              <w:pStyle w:val="style0"/>
              <w:rPr/>
            </w:pPr>
            <w:r>
              <w:rPr>
                <w:rFonts w:ascii="Aptos" w:hAnsi="Aptos"/>
                <w:b w:val="false"/>
                <w:sz w:val="17"/>
              </w:rPr>
              <w:t>Sensitive business and customer data must be stored only in approved systems and shared only with authorized users.</w:t>
            </w:r>
          </w:p>
        </w:tc>
      </w:tr>
      <w:tr w14:paraId="CB1A1D1A">
        <w:tblPrEx/>
        <w:trPr>
          <w:jc w:val="center"/>
        </w:trPr>
        <w:tc>
          <w:tcPr>
            <w:tcW w:w="4968" w:type="dxa"/>
            <w:tcBorders/>
            <w:vAlign w:val="center"/>
          </w:tcPr>
          <w:p w14:paraId="5E67B050">
            <w:pPr>
              <w:pStyle w:val="style0"/>
              <w:rPr/>
            </w:pPr>
            <w:r>
              <w:rPr>
                <w:rFonts w:ascii="Aptos" w:hAnsi="Aptos"/>
                <w:b w:val="false"/>
                <w:sz w:val="17"/>
              </w:rPr>
              <w:t>5. Acceptable Use</w:t>
            </w:r>
          </w:p>
        </w:tc>
        <w:tc>
          <w:tcPr>
            <w:tcW w:w="4968" w:type="dxa"/>
            <w:tcBorders/>
            <w:vAlign w:val="center"/>
          </w:tcPr>
          <w:p w14:paraId="79C1938A">
            <w:pPr>
              <w:pStyle w:val="style0"/>
              <w:rPr/>
            </w:pPr>
            <w:r>
              <w:rPr>
                <w:rFonts w:ascii="Aptos" w:hAnsi="Aptos"/>
                <w:b w:val="false"/>
                <w:sz w:val="17"/>
              </w:rPr>
              <w:t>Company devices and networks must be used for legitimate business purposes; unauthorized software is prohibited.</w:t>
            </w:r>
          </w:p>
        </w:tc>
      </w:tr>
      <w:tr w14:paraId="26161372">
        <w:tblPrEx/>
        <w:trPr>
          <w:jc w:val="center"/>
        </w:trPr>
        <w:tc>
          <w:tcPr>
            <w:tcW w:w="4968" w:type="dxa"/>
            <w:tcBorders/>
            <w:vAlign w:val="center"/>
          </w:tcPr>
          <w:p w14:paraId="E6F6FFEF">
            <w:pPr>
              <w:pStyle w:val="style0"/>
              <w:rPr/>
            </w:pPr>
            <w:r>
              <w:rPr>
                <w:rFonts w:ascii="Aptos" w:hAnsi="Aptos"/>
                <w:b w:val="false"/>
                <w:sz w:val="17"/>
              </w:rPr>
              <w:t>6. Incident Reporting</w:t>
            </w:r>
          </w:p>
        </w:tc>
        <w:tc>
          <w:tcPr>
            <w:tcW w:w="4968" w:type="dxa"/>
            <w:tcBorders/>
            <w:vAlign w:val="center"/>
          </w:tcPr>
          <w:p w14:paraId="C65D83B1">
            <w:pPr>
              <w:pStyle w:val="style0"/>
              <w:rPr/>
            </w:pPr>
            <w:r>
              <w:rPr>
                <w:rFonts w:ascii="Aptos" w:hAnsi="Aptos"/>
                <w:b w:val="false"/>
                <w:sz w:val="17"/>
              </w:rPr>
              <w:t>Employees must report suspected phishing, malware, data loss, or unauthorized access to IT/security.</w:t>
            </w:r>
          </w:p>
        </w:tc>
      </w:tr>
      <w:tr w14:paraId="9FD4DB75">
        <w:tblPrEx/>
        <w:trPr>
          <w:jc w:val="center"/>
        </w:trPr>
        <w:tc>
          <w:tcPr>
            <w:tcW w:w="4968" w:type="dxa"/>
            <w:tcBorders/>
            <w:vAlign w:val="center"/>
          </w:tcPr>
          <w:p w14:paraId="72248414">
            <w:pPr>
              <w:pStyle w:val="style0"/>
              <w:rPr/>
            </w:pPr>
            <w:r>
              <w:rPr>
                <w:rFonts w:ascii="Aptos" w:hAnsi="Aptos"/>
                <w:b w:val="false"/>
                <w:sz w:val="17"/>
              </w:rPr>
              <w:t>7. Backups</w:t>
            </w:r>
          </w:p>
        </w:tc>
        <w:tc>
          <w:tcPr>
            <w:tcW w:w="4968" w:type="dxa"/>
            <w:tcBorders/>
            <w:vAlign w:val="center"/>
          </w:tcPr>
          <w:p w14:paraId="0BEADBF8">
            <w:pPr>
              <w:pStyle w:val="style0"/>
              <w:rPr/>
            </w:pPr>
            <w:r>
              <w:rPr>
                <w:rFonts w:ascii="Aptos" w:hAnsi="Aptos"/>
                <w:b w:val="false"/>
                <w:sz w:val="17"/>
              </w:rPr>
              <w:t>Important business data is backed up regularly. Backup copies are retained for recovery.</w:t>
            </w:r>
          </w:p>
        </w:tc>
      </w:tr>
      <w:tr w14:paraId="7FFE0831">
        <w:tblPrEx/>
        <w:trPr>
          <w:jc w:val="center"/>
        </w:trPr>
        <w:tc>
          <w:tcPr>
            <w:tcW w:w="4968" w:type="dxa"/>
            <w:tcBorders/>
            <w:vAlign w:val="center"/>
          </w:tcPr>
          <w:p w14:paraId="FBA4DA09">
            <w:pPr>
              <w:pStyle w:val="style0"/>
              <w:rPr/>
            </w:pPr>
            <w:r>
              <w:rPr>
                <w:rFonts w:ascii="Aptos" w:hAnsi="Aptos"/>
                <w:b w:val="false"/>
                <w:sz w:val="17"/>
              </w:rPr>
              <w:t>8. Remote Work</w:t>
            </w:r>
          </w:p>
        </w:tc>
        <w:tc>
          <w:tcPr>
            <w:tcW w:w="4968" w:type="dxa"/>
            <w:tcBorders/>
            <w:vAlign w:val="center"/>
          </w:tcPr>
          <w:p w14:paraId="29B85D76">
            <w:pPr>
              <w:pStyle w:val="style0"/>
              <w:rPr/>
            </w:pPr>
            <w:r>
              <w:rPr>
                <w:rFonts w:ascii="Aptos" w:hAnsi="Aptos"/>
                <w:b w:val="false"/>
                <w:sz w:val="17"/>
              </w:rPr>
              <w:t>Remote users must use approved devices and secure connections and must protect devices from unauthorized access.</w:t>
            </w:r>
          </w:p>
        </w:tc>
      </w:tr>
      <w:tr w14:paraId="F9A39691">
        <w:tblPrEx/>
        <w:trPr>
          <w:jc w:val="center"/>
        </w:trPr>
        <w:tc>
          <w:tcPr>
            <w:tcW w:w="4968" w:type="dxa"/>
            <w:tcBorders/>
            <w:vAlign w:val="center"/>
          </w:tcPr>
          <w:p w14:paraId="4F4F6761">
            <w:pPr>
              <w:pStyle w:val="style0"/>
              <w:rPr/>
            </w:pPr>
            <w:r>
              <w:rPr>
                <w:rFonts w:ascii="Aptos" w:hAnsi="Aptos"/>
                <w:b w:val="false"/>
                <w:sz w:val="17"/>
              </w:rPr>
              <w:t>9. Security Awareness</w:t>
            </w:r>
          </w:p>
        </w:tc>
        <w:tc>
          <w:tcPr>
            <w:tcW w:w="4968" w:type="dxa"/>
            <w:tcBorders/>
            <w:vAlign w:val="center"/>
          </w:tcPr>
          <w:p w14:paraId="E15009D0">
            <w:pPr>
              <w:pStyle w:val="style0"/>
              <w:rPr/>
            </w:pPr>
            <w:r>
              <w:rPr>
                <w:rFonts w:ascii="Aptos" w:hAnsi="Aptos"/>
                <w:b w:val="false"/>
                <w:sz w:val="17"/>
              </w:rPr>
              <w:t>Employees receive basic security awareness training.</w:t>
            </w:r>
          </w:p>
        </w:tc>
      </w:tr>
      <w:tr w14:paraId="F73F2643">
        <w:tblPrEx/>
        <w:trPr>
          <w:jc w:val="center"/>
        </w:trPr>
        <w:tc>
          <w:tcPr>
            <w:tcW w:w="4968" w:type="dxa"/>
            <w:tcBorders/>
            <w:vAlign w:val="center"/>
          </w:tcPr>
          <w:p w14:paraId="F798E821">
            <w:pPr>
              <w:pStyle w:val="style0"/>
              <w:rPr/>
            </w:pPr>
            <w:r>
              <w:rPr>
                <w:rFonts w:ascii="Aptos" w:hAnsi="Aptos"/>
                <w:b w:val="false"/>
                <w:sz w:val="17"/>
              </w:rPr>
              <w:t>10. Third Parties</w:t>
            </w:r>
          </w:p>
        </w:tc>
        <w:tc>
          <w:tcPr>
            <w:tcW w:w="4968" w:type="dxa"/>
            <w:tcBorders/>
            <w:vAlign w:val="center"/>
          </w:tcPr>
          <w:p w14:paraId="50E94F9A">
            <w:pPr>
              <w:pStyle w:val="style0"/>
              <w:rPr/>
            </w:pPr>
            <w:r>
              <w:rPr>
                <w:rFonts w:ascii="Aptos" w:hAnsi="Aptos"/>
                <w:b w:val="false"/>
                <w:sz w:val="17"/>
              </w:rPr>
              <w:t>Vendors are expected to follow applicable security requirements and protect organizational information.</w:t>
            </w:r>
          </w:p>
        </w:tc>
      </w:tr>
      <w:tr w14:paraId="430DA1C3">
        <w:tblPrEx/>
        <w:trPr>
          <w:jc w:val="center"/>
        </w:trPr>
        <w:tc>
          <w:tcPr>
            <w:tcW w:w="4968" w:type="dxa"/>
            <w:tcBorders/>
            <w:vAlign w:val="center"/>
          </w:tcPr>
          <w:p w14:paraId="AB98CCC4">
            <w:pPr>
              <w:pStyle w:val="style0"/>
              <w:rPr/>
            </w:pPr>
            <w:r>
              <w:rPr>
                <w:rFonts w:ascii="Aptos" w:hAnsi="Aptos"/>
                <w:b w:val="false"/>
                <w:sz w:val="17"/>
              </w:rPr>
              <w:t>11. Physical Security</w:t>
            </w:r>
          </w:p>
        </w:tc>
        <w:tc>
          <w:tcPr>
            <w:tcW w:w="4968" w:type="dxa"/>
            <w:tcBorders/>
            <w:vAlign w:val="center"/>
          </w:tcPr>
          <w:p w14:paraId="D492FFB5">
            <w:pPr>
              <w:pStyle w:val="style0"/>
              <w:rPr/>
            </w:pPr>
            <w:r>
              <w:rPr>
                <w:rFonts w:ascii="Aptos" w:hAnsi="Aptos"/>
                <w:b w:val="false"/>
                <w:sz w:val="17"/>
              </w:rPr>
              <w:t>Employees must protect laptops, badges, documents, and restricted areas.</w:t>
            </w:r>
          </w:p>
        </w:tc>
      </w:tr>
      <w:tr w14:paraId="DFC84DBF">
        <w:tblPrEx/>
        <w:trPr>
          <w:jc w:val="center"/>
        </w:trPr>
        <w:tc>
          <w:tcPr>
            <w:tcW w:w="4968" w:type="dxa"/>
            <w:tcBorders/>
            <w:vAlign w:val="center"/>
          </w:tcPr>
          <w:p w14:paraId="5E2E8503">
            <w:pPr>
              <w:pStyle w:val="style0"/>
              <w:rPr/>
            </w:pPr>
            <w:r>
              <w:rPr>
                <w:rFonts w:ascii="Aptos" w:hAnsi="Aptos"/>
                <w:b w:val="false"/>
                <w:sz w:val="17"/>
              </w:rPr>
              <w:t>12. Policy Review</w:t>
            </w:r>
          </w:p>
        </w:tc>
        <w:tc>
          <w:tcPr>
            <w:tcW w:w="4968" w:type="dxa"/>
            <w:tcBorders/>
            <w:vAlign w:val="center"/>
          </w:tcPr>
          <w:p w14:paraId="CC2FFCD4">
            <w:pPr>
              <w:pStyle w:val="style0"/>
              <w:rPr/>
            </w:pPr>
            <w:r>
              <w:rPr>
                <w:rFonts w:ascii="Aptos" w:hAnsi="Aptos"/>
                <w:b w:val="false"/>
                <w:sz w:val="17"/>
              </w:rPr>
              <w:t>The policy is reviewed periodically and updated when major technology or business changes occur.</w:t>
            </w:r>
          </w:p>
        </w:tc>
      </w:tr>
    </w:tbl>
    <w:p w14:paraId="57029A33">
      <w:pPr>
        <w:pStyle w:val="style1"/>
        <w:rPr/>
      </w:pPr>
      <w:r>
        <w:t>5. Critical Assessment of the Baseline Policy</w:t>
      </w:r>
    </w:p>
    <w:p w14:paraId="DBC90CC3">
      <w:pPr>
        <w:pStyle w:val="style0"/>
        <w:rPr/>
      </w:pPr>
      <w:r>
        <w:t>The following assessment distinguishes between controls that provide a useful foundation and areas where the baseline should become more specific, measurable, risk-based, and continuously monitored.</w:t>
      </w:r>
    </w:p>
    <w:tbl>
      <w:tblPr>
        <w:tblStyle w:val="style154"/>
        <w:tblW w:w="0" w:type="auto"/>
        <w:jc w:val="center"/>
        <w:tblLook w:val="04A0" w:firstRow="1" w:lastRow="0" w:firstColumn="1" w:lastColumn="0" w:noHBand="0" w:noVBand="1"/>
      </w:tblPr>
      <w:tblGrid>
        <w:gridCol w:w="2484"/>
        <w:gridCol w:w="2484"/>
        <w:gridCol w:w="2484"/>
        <w:gridCol w:w="2484"/>
      </w:tblGrid>
      <w:tr w14:paraId="AA3B6DAA">
        <w:trPr>
          <w:jc w:val="center"/>
        </w:trPr>
        <w:tc>
          <w:tcPr>
            <w:tcW w:w="2484" w:type="dxa"/>
            <w:tcBorders/>
            <w:shd w:val="nil" w:color="auto" w:fill="d9eaf7"/>
            <w:vAlign w:val="center"/>
          </w:tcPr>
          <w:p w14:paraId="CAFD9CD5">
            <w:pPr>
              <w:pStyle w:val="style0"/>
              <w:rPr/>
            </w:pPr>
            <w:r>
              <w:rPr>
                <w:rFonts w:ascii="Aptos" w:hAnsi="Aptos"/>
                <w:b/>
                <w:sz w:val="18"/>
              </w:rPr>
              <w:t>Area</w:t>
            </w:r>
          </w:p>
        </w:tc>
        <w:tc>
          <w:tcPr>
            <w:tcW w:w="2484" w:type="dxa"/>
            <w:tcBorders/>
            <w:shd w:val="nil" w:color="auto" w:fill="d9eaf7"/>
            <w:vAlign w:val="center"/>
          </w:tcPr>
          <w:p w14:paraId="4319A621">
            <w:pPr>
              <w:pStyle w:val="style0"/>
              <w:rPr/>
            </w:pPr>
            <w:r>
              <w:rPr>
                <w:rFonts w:ascii="Aptos" w:hAnsi="Aptos"/>
                <w:b/>
                <w:sz w:val="18"/>
              </w:rPr>
              <w:t>Strength</w:t>
            </w:r>
          </w:p>
        </w:tc>
        <w:tc>
          <w:tcPr>
            <w:tcW w:w="2484" w:type="dxa"/>
            <w:tcBorders/>
            <w:shd w:val="nil" w:color="auto" w:fill="d9eaf7"/>
            <w:vAlign w:val="center"/>
          </w:tcPr>
          <w:p w14:paraId="4EB887D1">
            <w:pPr>
              <w:pStyle w:val="style0"/>
              <w:rPr/>
            </w:pPr>
            <w:r>
              <w:rPr>
                <w:rFonts w:ascii="Aptos" w:hAnsi="Aptos"/>
                <w:b/>
                <w:sz w:val="18"/>
              </w:rPr>
              <w:t>Gap / weakness</w:t>
            </w:r>
          </w:p>
        </w:tc>
        <w:tc>
          <w:tcPr>
            <w:tcW w:w="2484" w:type="dxa"/>
            <w:tcBorders/>
            <w:shd w:val="nil" w:color="auto" w:fill="d9eaf7"/>
            <w:vAlign w:val="center"/>
          </w:tcPr>
          <w:p w14:paraId="378A3078">
            <w:pPr>
              <w:pStyle w:val="style0"/>
              <w:rPr/>
            </w:pPr>
            <w:r>
              <w:rPr>
                <w:rFonts w:ascii="Aptos" w:hAnsi="Aptos"/>
                <w:b/>
                <w:sz w:val="18"/>
              </w:rPr>
              <w:t>Priority</w:t>
            </w:r>
          </w:p>
        </w:tc>
      </w:tr>
      <w:tr w14:paraId="FC26684D">
        <w:tblPrEx/>
        <w:trPr>
          <w:jc w:val="center"/>
        </w:trPr>
        <w:tc>
          <w:tcPr>
            <w:tcW w:w="2484" w:type="dxa"/>
            <w:tcBorders/>
            <w:vAlign w:val="center"/>
          </w:tcPr>
          <w:p w14:paraId="B7BAFFF5">
            <w:pPr>
              <w:pStyle w:val="style0"/>
              <w:rPr/>
            </w:pPr>
            <w:r>
              <w:rPr>
                <w:rFonts w:ascii="Aptos" w:hAnsi="Aptos"/>
                <w:b w:val="false"/>
                <w:sz w:val="17"/>
              </w:rPr>
              <w:t>Access control</w:t>
            </w:r>
          </w:p>
        </w:tc>
        <w:tc>
          <w:tcPr>
            <w:tcW w:w="2484" w:type="dxa"/>
            <w:tcBorders/>
            <w:vAlign w:val="center"/>
          </w:tcPr>
          <w:p w14:paraId="719588EB">
            <w:pPr>
              <w:pStyle w:val="style0"/>
              <w:rPr/>
            </w:pPr>
            <w:r>
              <w:rPr>
                <w:rFonts w:ascii="Aptos" w:hAnsi="Aptos"/>
                <w:b w:val="false"/>
                <w:sz w:val="17"/>
              </w:rPr>
              <w:t>Clear job-based access concept and manager approval.</w:t>
            </w:r>
          </w:p>
        </w:tc>
        <w:tc>
          <w:tcPr>
            <w:tcW w:w="2484" w:type="dxa"/>
            <w:tcBorders/>
            <w:vAlign w:val="center"/>
          </w:tcPr>
          <w:p w14:paraId="01180324">
            <w:pPr>
              <w:pStyle w:val="style0"/>
              <w:rPr/>
            </w:pPr>
            <w:r>
              <w:rPr>
                <w:rFonts w:ascii="Aptos" w:hAnsi="Aptos"/>
                <w:b w:val="false"/>
                <w:sz w:val="17"/>
              </w:rPr>
              <w:t>No explicit least-privilege review cycle, privileged-access management, or joiner/mover/leaver SLA.</w:t>
            </w:r>
          </w:p>
        </w:tc>
        <w:tc>
          <w:tcPr>
            <w:tcW w:w="2484" w:type="dxa"/>
            <w:tcBorders/>
            <w:vAlign w:val="center"/>
          </w:tcPr>
          <w:p w14:paraId="B058474C">
            <w:pPr>
              <w:pStyle w:val="style0"/>
              <w:rPr/>
            </w:pPr>
            <w:r>
              <w:rPr>
                <w:rFonts w:ascii="Aptos" w:hAnsi="Aptos"/>
                <w:b w:val="false"/>
                <w:sz w:val="17"/>
              </w:rPr>
              <w:t>Medium-High</w:t>
            </w:r>
          </w:p>
        </w:tc>
      </w:tr>
      <w:tr w14:paraId="9900F02E">
        <w:tblPrEx/>
        <w:trPr>
          <w:jc w:val="center"/>
        </w:trPr>
        <w:tc>
          <w:tcPr>
            <w:tcW w:w="2484" w:type="dxa"/>
            <w:tcBorders/>
            <w:vAlign w:val="center"/>
          </w:tcPr>
          <w:p w14:paraId="28389576">
            <w:pPr>
              <w:pStyle w:val="style0"/>
              <w:rPr/>
            </w:pPr>
            <w:r>
              <w:rPr>
                <w:rFonts w:ascii="Aptos" w:hAnsi="Aptos"/>
                <w:b w:val="false"/>
                <w:sz w:val="17"/>
              </w:rPr>
              <w:t>Authentication</w:t>
            </w:r>
          </w:p>
        </w:tc>
        <w:tc>
          <w:tcPr>
            <w:tcW w:w="2484" w:type="dxa"/>
            <w:tcBorders/>
            <w:vAlign w:val="center"/>
          </w:tcPr>
          <w:p w14:paraId="1F97E57E">
            <w:pPr>
              <w:pStyle w:val="style0"/>
              <w:rPr/>
            </w:pPr>
            <w:r>
              <w:rPr>
                <w:rFonts w:ascii="Aptos" w:hAnsi="Aptos"/>
                <w:b w:val="false"/>
                <w:sz w:val="17"/>
              </w:rPr>
              <w:t>Recognizes stronger authentication for administrators.</w:t>
            </w:r>
          </w:p>
        </w:tc>
        <w:tc>
          <w:tcPr>
            <w:tcW w:w="2484" w:type="dxa"/>
            <w:tcBorders/>
            <w:vAlign w:val="center"/>
          </w:tcPr>
          <w:p w14:paraId="118D60C6">
            <w:pPr>
              <w:pStyle w:val="style0"/>
              <w:rPr/>
            </w:pPr>
            <w:r>
              <w:rPr>
                <w:rFonts w:ascii="Aptos" w:hAnsi="Aptos"/>
                <w:b w:val="false"/>
                <w:sz w:val="17"/>
              </w:rPr>
              <w:t>MFA is not mandatory for all high-risk or remote access; no phishing-resistant MFA requirement.</w:t>
            </w:r>
          </w:p>
        </w:tc>
        <w:tc>
          <w:tcPr>
            <w:tcW w:w="2484" w:type="dxa"/>
            <w:tcBorders/>
            <w:vAlign w:val="center"/>
          </w:tcPr>
          <w:p w14:paraId="2CFC3E02">
            <w:pPr>
              <w:pStyle w:val="style0"/>
              <w:rPr/>
            </w:pPr>
            <w:r>
              <w:rPr>
                <w:rFonts w:ascii="Aptos" w:hAnsi="Aptos"/>
                <w:b w:val="false"/>
                <w:sz w:val="17"/>
              </w:rPr>
              <w:t>High</w:t>
            </w:r>
          </w:p>
        </w:tc>
      </w:tr>
      <w:tr w14:paraId="190E87D9">
        <w:tblPrEx/>
        <w:trPr>
          <w:jc w:val="center"/>
        </w:trPr>
        <w:tc>
          <w:tcPr>
            <w:tcW w:w="2484" w:type="dxa"/>
            <w:tcBorders/>
            <w:vAlign w:val="center"/>
          </w:tcPr>
          <w:p w14:paraId="65D394F5">
            <w:pPr>
              <w:pStyle w:val="style0"/>
              <w:rPr/>
            </w:pPr>
            <w:r>
              <w:rPr>
                <w:rFonts w:ascii="Aptos" w:hAnsi="Aptos"/>
                <w:b w:val="false"/>
                <w:sz w:val="17"/>
              </w:rPr>
              <w:t>Passwords</w:t>
            </w:r>
          </w:p>
        </w:tc>
        <w:tc>
          <w:tcPr>
            <w:tcW w:w="2484" w:type="dxa"/>
            <w:tcBorders/>
            <w:vAlign w:val="center"/>
          </w:tcPr>
          <w:p w14:paraId="E067EDB1">
            <w:pPr>
              <w:pStyle w:val="style0"/>
              <w:rPr/>
            </w:pPr>
            <w:r>
              <w:rPr>
                <w:rFonts w:ascii="Aptos" w:hAnsi="Aptos"/>
                <w:b w:val="false"/>
                <w:sz w:val="17"/>
              </w:rPr>
              <w:t>Prohibits sharing and asks for strong passwords.</w:t>
            </w:r>
          </w:p>
        </w:tc>
        <w:tc>
          <w:tcPr>
            <w:tcW w:w="2484" w:type="dxa"/>
            <w:tcBorders/>
            <w:vAlign w:val="center"/>
          </w:tcPr>
          <w:p w14:paraId="C5686230">
            <w:pPr>
              <w:pStyle w:val="style0"/>
              <w:rPr/>
            </w:pPr>
            <w:r>
              <w:rPr>
                <w:rFonts w:ascii="Aptos" w:hAnsi="Aptos"/>
                <w:b w:val="false"/>
                <w:sz w:val="17"/>
              </w:rPr>
              <w:t>Periodic password changes alone are not a complete modern identity strategy; no password-manager or compromised-credential process.</w:t>
            </w:r>
          </w:p>
        </w:tc>
        <w:tc>
          <w:tcPr>
            <w:tcW w:w="2484" w:type="dxa"/>
            <w:tcBorders/>
            <w:vAlign w:val="center"/>
          </w:tcPr>
          <w:p w14:paraId="56FFA0E6">
            <w:pPr>
              <w:pStyle w:val="style0"/>
              <w:rPr/>
            </w:pPr>
            <w:r>
              <w:rPr>
                <w:rFonts w:ascii="Aptos" w:hAnsi="Aptos"/>
                <w:b w:val="false"/>
                <w:sz w:val="17"/>
              </w:rPr>
              <w:t>Medium</w:t>
            </w:r>
          </w:p>
        </w:tc>
      </w:tr>
      <w:tr w14:paraId="5E732CBF">
        <w:tblPrEx/>
        <w:trPr>
          <w:jc w:val="center"/>
        </w:trPr>
        <w:tc>
          <w:tcPr>
            <w:tcW w:w="2484" w:type="dxa"/>
            <w:tcBorders/>
            <w:vAlign w:val="center"/>
          </w:tcPr>
          <w:p w14:paraId="81D82595">
            <w:pPr>
              <w:pStyle w:val="style0"/>
              <w:rPr/>
            </w:pPr>
            <w:r>
              <w:rPr>
                <w:rFonts w:ascii="Aptos" w:hAnsi="Aptos"/>
                <w:b w:val="false"/>
                <w:sz w:val="17"/>
              </w:rPr>
              <w:t>Data protection</w:t>
            </w:r>
          </w:p>
        </w:tc>
        <w:tc>
          <w:tcPr>
            <w:tcW w:w="2484" w:type="dxa"/>
            <w:tcBorders/>
            <w:vAlign w:val="center"/>
          </w:tcPr>
          <w:p w14:paraId="9042016B">
            <w:pPr>
              <w:pStyle w:val="style0"/>
              <w:rPr/>
            </w:pPr>
            <w:r>
              <w:rPr>
                <w:rFonts w:ascii="Aptos" w:hAnsi="Aptos"/>
                <w:b w:val="false"/>
                <w:sz w:val="17"/>
              </w:rPr>
              <w:t>Restricts storage/sharing to approved systems.</w:t>
            </w:r>
          </w:p>
        </w:tc>
        <w:tc>
          <w:tcPr>
            <w:tcW w:w="2484" w:type="dxa"/>
            <w:tcBorders/>
            <w:vAlign w:val="center"/>
          </w:tcPr>
          <w:p w14:paraId="5026A790">
            <w:pPr>
              <w:pStyle w:val="style0"/>
              <w:rPr/>
            </w:pPr>
            <w:r>
              <w:rPr>
                <w:rFonts w:ascii="Aptos" w:hAnsi="Aptos"/>
                <w:b w:val="false"/>
                <w:sz w:val="17"/>
              </w:rPr>
              <w:t>No formal classification levels, encryption requirements, retention rules, DLP expectations, or secure disposal details.</w:t>
            </w:r>
          </w:p>
        </w:tc>
        <w:tc>
          <w:tcPr>
            <w:tcW w:w="2484" w:type="dxa"/>
            <w:tcBorders/>
            <w:vAlign w:val="center"/>
          </w:tcPr>
          <w:p w14:paraId="E7B4CA69">
            <w:pPr>
              <w:pStyle w:val="style0"/>
              <w:rPr/>
            </w:pPr>
            <w:r>
              <w:rPr>
                <w:rFonts w:ascii="Aptos" w:hAnsi="Aptos"/>
                <w:b w:val="false"/>
                <w:sz w:val="17"/>
              </w:rPr>
              <w:t>High</w:t>
            </w:r>
          </w:p>
        </w:tc>
      </w:tr>
      <w:tr w14:paraId="8B49C0C0">
        <w:tblPrEx/>
        <w:trPr>
          <w:jc w:val="center"/>
        </w:trPr>
        <w:tc>
          <w:tcPr>
            <w:tcW w:w="2484" w:type="dxa"/>
            <w:tcBorders/>
            <w:vAlign w:val="center"/>
          </w:tcPr>
          <w:p w14:paraId="00BDCCE5">
            <w:pPr>
              <w:pStyle w:val="style0"/>
              <w:rPr/>
            </w:pPr>
            <w:r>
              <w:rPr>
                <w:rFonts w:ascii="Aptos" w:hAnsi="Aptos"/>
                <w:b w:val="false"/>
                <w:sz w:val="17"/>
              </w:rPr>
              <w:t>Incident response</w:t>
            </w:r>
          </w:p>
        </w:tc>
        <w:tc>
          <w:tcPr>
            <w:tcW w:w="2484" w:type="dxa"/>
            <w:tcBorders/>
            <w:vAlign w:val="center"/>
          </w:tcPr>
          <w:p w14:paraId="F1D02C5B">
            <w:pPr>
              <w:pStyle w:val="style0"/>
              <w:rPr/>
            </w:pPr>
            <w:r>
              <w:rPr>
                <w:rFonts w:ascii="Aptos" w:hAnsi="Aptos"/>
                <w:b w:val="false"/>
                <w:sz w:val="17"/>
              </w:rPr>
              <w:t>Provides a reporting route.</w:t>
            </w:r>
          </w:p>
        </w:tc>
        <w:tc>
          <w:tcPr>
            <w:tcW w:w="2484" w:type="dxa"/>
            <w:tcBorders/>
            <w:vAlign w:val="center"/>
          </w:tcPr>
          <w:p w14:paraId="BEB12319">
            <w:pPr>
              <w:pStyle w:val="style0"/>
              <w:rPr/>
            </w:pPr>
            <w:r>
              <w:rPr>
                <w:rFonts w:ascii="Aptos" w:hAnsi="Aptos"/>
                <w:b w:val="false"/>
                <w:sz w:val="17"/>
              </w:rPr>
              <w:t>No severity levels, roles, evidence handling, containment/recovery steps, communications plan, or exercise schedule.</w:t>
            </w:r>
          </w:p>
        </w:tc>
        <w:tc>
          <w:tcPr>
            <w:tcW w:w="2484" w:type="dxa"/>
            <w:tcBorders/>
            <w:vAlign w:val="center"/>
          </w:tcPr>
          <w:p w14:paraId="72BCDCAE">
            <w:pPr>
              <w:pStyle w:val="style0"/>
              <w:rPr/>
            </w:pPr>
            <w:r>
              <w:rPr>
                <w:rFonts w:ascii="Aptos" w:hAnsi="Aptos"/>
                <w:b w:val="false"/>
                <w:sz w:val="17"/>
              </w:rPr>
              <w:t>High</w:t>
            </w:r>
          </w:p>
        </w:tc>
      </w:tr>
      <w:tr w14:paraId="70033CDA">
        <w:tblPrEx/>
        <w:trPr>
          <w:jc w:val="center"/>
        </w:trPr>
        <w:tc>
          <w:tcPr>
            <w:tcW w:w="2484" w:type="dxa"/>
            <w:tcBorders/>
            <w:vAlign w:val="center"/>
          </w:tcPr>
          <w:p w14:paraId="8D4D0729">
            <w:pPr>
              <w:pStyle w:val="style0"/>
              <w:rPr/>
            </w:pPr>
            <w:r>
              <w:rPr>
                <w:rFonts w:ascii="Aptos" w:hAnsi="Aptos"/>
                <w:b w:val="false"/>
                <w:sz w:val="17"/>
              </w:rPr>
              <w:t>Logging &amp; monitoring</w:t>
            </w:r>
          </w:p>
        </w:tc>
        <w:tc>
          <w:tcPr>
            <w:tcW w:w="2484" w:type="dxa"/>
            <w:tcBorders/>
            <w:vAlign w:val="center"/>
          </w:tcPr>
          <w:p w14:paraId="2DA51782">
            <w:pPr>
              <w:pStyle w:val="style0"/>
              <w:rPr/>
            </w:pPr>
            <w:r>
              <w:rPr>
                <w:rFonts w:ascii="Aptos" w:hAnsi="Aptos"/>
                <w:b w:val="false"/>
                <w:sz w:val="17"/>
              </w:rPr>
              <w:t>Implicitly supported by IT operations.</w:t>
            </w:r>
          </w:p>
        </w:tc>
        <w:tc>
          <w:tcPr>
            <w:tcW w:w="2484" w:type="dxa"/>
            <w:tcBorders/>
            <w:vAlign w:val="center"/>
          </w:tcPr>
          <w:p w14:paraId="967100F7">
            <w:pPr>
              <w:pStyle w:val="style0"/>
              <w:rPr/>
            </w:pPr>
            <w:r>
              <w:rPr>
                <w:rFonts w:ascii="Aptos" w:hAnsi="Aptos"/>
                <w:b w:val="false"/>
                <w:sz w:val="17"/>
              </w:rPr>
              <w:t>No explicit centralized logging, alerting, retention, time synchronization, or review responsibilities.</w:t>
            </w:r>
          </w:p>
        </w:tc>
        <w:tc>
          <w:tcPr>
            <w:tcW w:w="2484" w:type="dxa"/>
            <w:tcBorders/>
            <w:vAlign w:val="center"/>
          </w:tcPr>
          <w:p w14:paraId="BB909B32">
            <w:pPr>
              <w:pStyle w:val="style0"/>
              <w:rPr/>
            </w:pPr>
            <w:r>
              <w:rPr>
                <w:rFonts w:ascii="Aptos" w:hAnsi="Aptos"/>
                <w:b w:val="false"/>
                <w:sz w:val="17"/>
              </w:rPr>
              <w:t>High</w:t>
            </w:r>
          </w:p>
        </w:tc>
      </w:tr>
      <w:tr w14:paraId="99214E72">
        <w:tblPrEx/>
        <w:trPr>
          <w:jc w:val="center"/>
        </w:trPr>
        <w:tc>
          <w:tcPr>
            <w:tcW w:w="2484" w:type="dxa"/>
            <w:tcBorders/>
            <w:vAlign w:val="center"/>
          </w:tcPr>
          <w:p w14:paraId="792B3379">
            <w:pPr>
              <w:pStyle w:val="style0"/>
              <w:rPr/>
            </w:pPr>
            <w:r>
              <w:rPr>
                <w:rFonts w:ascii="Aptos" w:hAnsi="Aptos"/>
                <w:b w:val="false"/>
                <w:sz w:val="17"/>
              </w:rPr>
              <w:t>Backups</w:t>
            </w:r>
          </w:p>
        </w:tc>
        <w:tc>
          <w:tcPr>
            <w:tcW w:w="2484" w:type="dxa"/>
            <w:tcBorders/>
            <w:vAlign w:val="center"/>
          </w:tcPr>
          <w:p w14:paraId="951930A0">
            <w:pPr>
              <w:pStyle w:val="style0"/>
              <w:rPr/>
            </w:pPr>
            <w:r>
              <w:rPr>
                <w:rFonts w:ascii="Aptos" w:hAnsi="Aptos"/>
                <w:b w:val="false"/>
                <w:sz w:val="17"/>
              </w:rPr>
              <w:t>Regular backups are required.</w:t>
            </w:r>
          </w:p>
        </w:tc>
        <w:tc>
          <w:tcPr>
            <w:tcW w:w="2484" w:type="dxa"/>
            <w:tcBorders/>
            <w:vAlign w:val="center"/>
          </w:tcPr>
          <w:p w14:paraId="870ADFCC">
            <w:pPr>
              <w:pStyle w:val="style0"/>
              <w:rPr/>
            </w:pPr>
            <w:r>
              <w:rPr>
                <w:rFonts w:ascii="Aptos" w:hAnsi="Aptos"/>
                <w:b w:val="false"/>
                <w:sz w:val="17"/>
              </w:rPr>
              <w:t>No stated RPO/RTO, backup isolation, immutable/offline copy, restore testing, or ownership.</w:t>
            </w:r>
          </w:p>
        </w:tc>
        <w:tc>
          <w:tcPr>
            <w:tcW w:w="2484" w:type="dxa"/>
            <w:tcBorders/>
            <w:vAlign w:val="center"/>
          </w:tcPr>
          <w:p w14:paraId="C4E47DC3">
            <w:pPr>
              <w:pStyle w:val="style0"/>
              <w:rPr/>
            </w:pPr>
            <w:r>
              <w:rPr>
                <w:rFonts w:ascii="Aptos" w:hAnsi="Aptos"/>
                <w:b w:val="false"/>
                <w:sz w:val="17"/>
              </w:rPr>
              <w:t>High</w:t>
            </w:r>
          </w:p>
        </w:tc>
      </w:tr>
      <w:tr w14:paraId="4A86CCA5">
        <w:tblPrEx/>
        <w:trPr>
          <w:jc w:val="center"/>
        </w:trPr>
        <w:tc>
          <w:tcPr>
            <w:tcW w:w="2484" w:type="dxa"/>
            <w:tcBorders/>
            <w:vAlign w:val="center"/>
          </w:tcPr>
          <w:p w14:paraId="DAAAB62F">
            <w:pPr>
              <w:pStyle w:val="style0"/>
              <w:rPr/>
            </w:pPr>
            <w:r>
              <w:rPr>
                <w:rFonts w:ascii="Aptos" w:hAnsi="Aptos"/>
                <w:b w:val="false"/>
                <w:sz w:val="17"/>
              </w:rPr>
              <w:t>Remote work</w:t>
            </w:r>
          </w:p>
        </w:tc>
        <w:tc>
          <w:tcPr>
            <w:tcW w:w="2484" w:type="dxa"/>
            <w:tcBorders/>
            <w:vAlign w:val="center"/>
          </w:tcPr>
          <w:p w14:paraId="1434E2F7">
            <w:pPr>
              <w:pStyle w:val="style0"/>
              <w:rPr/>
            </w:pPr>
            <w:r>
              <w:rPr>
                <w:rFonts w:ascii="Aptos" w:hAnsi="Aptos"/>
                <w:b w:val="false"/>
                <w:sz w:val="17"/>
              </w:rPr>
              <w:t>Requires approved devices and secure connections.</w:t>
            </w:r>
          </w:p>
        </w:tc>
        <w:tc>
          <w:tcPr>
            <w:tcW w:w="2484" w:type="dxa"/>
            <w:tcBorders/>
            <w:vAlign w:val="center"/>
          </w:tcPr>
          <w:p w14:paraId="B19A515F">
            <w:pPr>
              <w:pStyle w:val="style0"/>
              <w:rPr/>
            </w:pPr>
            <w:r>
              <w:rPr>
                <w:rFonts w:ascii="Aptos" w:hAnsi="Aptos"/>
                <w:b w:val="false"/>
                <w:sz w:val="17"/>
              </w:rPr>
              <w:t>No detailed device security baseline, endpoint management, screen/privacy controls, or lost-device process.</w:t>
            </w:r>
          </w:p>
        </w:tc>
        <w:tc>
          <w:tcPr>
            <w:tcW w:w="2484" w:type="dxa"/>
            <w:tcBorders/>
            <w:vAlign w:val="center"/>
          </w:tcPr>
          <w:p w14:paraId="0075E76B">
            <w:pPr>
              <w:pStyle w:val="style0"/>
              <w:rPr/>
            </w:pPr>
            <w:r>
              <w:rPr>
                <w:rFonts w:ascii="Aptos" w:hAnsi="Aptos"/>
                <w:b w:val="false"/>
                <w:sz w:val="17"/>
              </w:rPr>
              <w:t>Medium-High</w:t>
            </w:r>
          </w:p>
        </w:tc>
      </w:tr>
      <w:tr w14:paraId="A2A7763F">
        <w:tblPrEx/>
        <w:trPr>
          <w:jc w:val="center"/>
        </w:trPr>
        <w:tc>
          <w:tcPr>
            <w:tcW w:w="2484" w:type="dxa"/>
            <w:tcBorders/>
            <w:vAlign w:val="center"/>
          </w:tcPr>
          <w:p w14:paraId="834C06D2">
            <w:pPr>
              <w:pStyle w:val="style0"/>
              <w:rPr/>
            </w:pPr>
            <w:r>
              <w:rPr>
                <w:rFonts w:ascii="Aptos" w:hAnsi="Aptos"/>
                <w:b w:val="false"/>
                <w:sz w:val="17"/>
              </w:rPr>
              <w:t>Awareness</w:t>
            </w:r>
          </w:p>
        </w:tc>
        <w:tc>
          <w:tcPr>
            <w:tcW w:w="2484" w:type="dxa"/>
            <w:tcBorders/>
            <w:vAlign w:val="center"/>
          </w:tcPr>
          <w:p w14:paraId="0F128DF2">
            <w:pPr>
              <w:pStyle w:val="style0"/>
              <w:rPr/>
            </w:pPr>
            <w:r>
              <w:rPr>
                <w:rFonts w:ascii="Aptos" w:hAnsi="Aptos"/>
                <w:b w:val="false"/>
                <w:sz w:val="17"/>
              </w:rPr>
              <w:t>Basic awareness training is required.</w:t>
            </w:r>
          </w:p>
        </w:tc>
        <w:tc>
          <w:tcPr>
            <w:tcW w:w="2484" w:type="dxa"/>
            <w:tcBorders/>
            <w:vAlign w:val="center"/>
          </w:tcPr>
          <w:p w14:paraId="C35F5F98">
            <w:pPr>
              <w:pStyle w:val="style0"/>
              <w:rPr/>
            </w:pPr>
            <w:r>
              <w:rPr>
                <w:rFonts w:ascii="Aptos" w:hAnsi="Aptos"/>
                <w:b w:val="false"/>
                <w:sz w:val="17"/>
              </w:rPr>
              <w:t>No role-based training, phishing simulations, completion target, or measurement.</w:t>
            </w:r>
          </w:p>
        </w:tc>
        <w:tc>
          <w:tcPr>
            <w:tcW w:w="2484" w:type="dxa"/>
            <w:tcBorders/>
            <w:vAlign w:val="center"/>
          </w:tcPr>
          <w:p w14:paraId="22348E2B">
            <w:pPr>
              <w:pStyle w:val="style0"/>
              <w:rPr/>
            </w:pPr>
            <w:r>
              <w:rPr>
                <w:rFonts w:ascii="Aptos" w:hAnsi="Aptos"/>
                <w:b w:val="false"/>
                <w:sz w:val="17"/>
              </w:rPr>
              <w:t>Medium</w:t>
            </w:r>
          </w:p>
        </w:tc>
      </w:tr>
      <w:tr w14:paraId="762DE954">
        <w:tblPrEx/>
        <w:trPr>
          <w:jc w:val="center"/>
        </w:trPr>
        <w:tc>
          <w:tcPr>
            <w:tcW w:w="2484" w:type="dxa"/>
            <w:tcBorders/>
            <w:vAlign w:val="center"/>
          </w:tcPr>
          <w:p w14:paraId="AC93C479">
            <w:pPr>
              <w:pStyle w:val="style0"/>
              <w:rPr/>
            </w:pPr>
            <w:r>
              <w:rPr>
                <w:rFonts w:ascii="Aptos" w:hAnsi="Aptos"/>
                <w:b w:val="false"/>
                <w:sz w:val="17"/>
              </w:rPr>
              <w:t>Third parties</w:t>
            </w:r>
          </w:p>
        </w:tc>
        <w:tc>
          <w:tcPr>
            <w:tcW w:w="2484" w:type="dxa"/>
            <w:tcBorders/>
            <w:vAlign w:val="center"/>
          </w:tcPr>
          <w:p w14:paraId="C1AF56B0">
            <w:pPr>
              <w:pStyle w:val="style0"/>
              <w:rPr/>
            </w:pPr>
            <w:r>
              <w:rPr>
                <w:rFonts w:ascii="Aptos" w:hAnsi="Aptos"/>
                <w:b w:val="false"/>
                <w:sz w:val="17"/>
              </w:rPr>
              <w:t>Vendors are expected to protect information.</w:t>
            </w:r>
          </w:p>
        </w:tc>
        <w:tc>
          <w:tcPr>
            <w:tcW w:w="2484" w:type="dxa"/>
            <w:tcBorders/>
            <w:vAlign w:val="center"/>
          </w:tcPr>
          <w:p w14:paraId="7BA0BDEF">
            <w:pPr>
              <w:pStyle w:val="style0"/>
              <w:rPr/>
            </w:pPr>
            <w:r>
              <w:rPr>
                <w:rFonts w:ascii="Aptos" w:hAnsi="Aptos"/>
                <w:b w:val="false"/>
                <w:sz w:val="17"/>
              </w:rPr>
              <w:t>No due diligence, contract controls, risk tiering, security assessment, or offboarding requirements.</w:t>
            </w:r>
          </w:p>
        </w:tc>
        <w:tc>
          <w:tcPr>
            <w:tcW w:w="2484" w:type="dxa"/>
            <w:tcBorders/>
            <w:vAlign w:val="center"/>
          </w:tcPr>
          <w:p w14:paraId="BBB17DD4">
            <w:pPr>
              <w:pStyle w:val="style0"/>
              <w:rPr/>
            </w:pPr>
            <w:r>
              <w:rPr>
                <w:rFonts w:ascii="Aptos" w:hAnsi="Aptos"/>
                <w:b w:val="false"/>
                <w:sz w:val="17"/>
              </w:rPr>
              <w:t>High</w:t>
            </w:r>
          </w:p>
        </w:tc>
      </w:tr>
      <w:tr w14:paraId="3CE60E34">
        <w:tblPrEx/>
        <w:trPr>
          <w:jc w:val="center"/>
        </w:trPr>
        <w:tc>
          <w:tcPr>
            <w:tcW w:w="2484" w:type="dxa"/>
            <w:tcBorders/>
            <w:vAlign w:val="center"/>
          </w:tcPr>
          <w:p w14:paraId="8666BD72">
            <w:pPr>
              <w:pStyle w:val="style0"/>
              <w:rPr/>
            </w:pPr>
            <w:r>
              <w:rPr>
                <w:rFonts w:ascii="Aptos" w:hAnsi="Aptos"/>
                <w:b w:val="false"/>
                <w:sz w:val="17"/>
              </w:rPr>
              <w:t>Vulnerability/patching</w:t>
            </w:r>
          </w:p>
        </w:tc>
        <w:tc>
          <w:tcPr>
            <w:tcW w:w="2484" w:type="dxa"/>
            <w:tcBorders/>
            <w:vAlign w:val="center"/>
          </w:tcPr>
          <w:p w14:paraId="D0D6CAC0">
            <w:pPr>
              <w:pStyle w:val="style0"/>
              <w:rPr/>
            </w:pPr>
            <w:r>
              <w:rPr>
                <w:rFonts w:ascii="Aptos" w:hAnsi="Aptos"/>
                <w:b w:val="false"/>
                <w:sz w:val="17"/>
              </w:rPr>
              <w:t>Not explicitly defined.</w:t>
            </w:r>
          </w:p>
        </w:tc>
        <w:tc>
          <w:tcPr>
            <w:tcW w:w="2484" w:type="dxa"/>
            <w:tcBorders/>
            <w:vAlign w:val="center"/>
          </w:tcPr>
          <w:p w14:paraId="00B33F15">
            <w:pPr>
              <w:pStyle w:val="style0"/>
              <w:rPr/>
            </w:pPr>
            <w:r>
              <w:rPr>
                <w:rFonts w:ascii="Aptos" w:hAnsi="Aptos"/>
                <w:b w:val="false"/>
                <w:sz w:val="17"/>
              </w:rPr>
              <w:t>Missing patch timelines, vulnerability scanning, exception process, and remediation tracking.</w:t>
            </w:r>
          </w:p>
        </w:tc>
        <w:tc>
          <w:tcPr>
            <w:tcW w:w="2484" w:type="dxa"/>
            <w:tcBorders/>
            <w:vAlign w:val="center"/>
          </w:tcPr>
          <w:p w14:paraId="BD9AA08A">
            <w:pPr>
              <w:pStyle w:val="style0"/>
              <w:rPr/>
            </w:pPr>
            <w:r>
              <w:rPr>
                <w:rFonts w:ascii="Aptos" w:hAnsi="Aptos"/>
                <w:b w:val="false"/>
                <w:sz w:val="17"/>
              </w:rPr>
              <w:t>High</w:t>
            </w:r>
          </w:p>
        </w:tc>
      </w:tr>
      <w:tr w14:paraId="9C2BD7B5">
        <w:tblPrEx/>
        <w:trPr>
          <w:jc w:val="center"/>
        </w:trPr>
        <w:tc>
          <w:tcPr>
            <w:tcW w:w="2484" w:type="dxa"/>
            <w:tcBorders/>
            <w:vAlign w:val="center"/>
          </w:tcPr>
          <w:p w14:paraId="228D2306">
            <w:pPr>
              <w:pStyle w:val="style0"/>
              <w:rPr/>
            </w:pPr>
            <w:r>
              <w:rPr>
                <w:rFonts w:ascii="Aptos" w:hAnsi="Aptos"/>
                <w:b w:val="false"/>
                <w:sz w:val="17"/>
              </w:rPr>
              <w:t>Governance</w:t>
            </w:r>
          </w:p>
        </w:tc>
        <w:tc>
          <w:tcPr>
            <w:tcW w:w="2484" w:type="dxa"/>
            <w:tcBorders/>
            <w:vAlign w:val="center"/>
          </w:tcPr>
          <w:p w14:paraId="ED0FB8DC">
            <w:pPr>
              <w:pStyle w:val="style0"/>
              <w:rPr/>
            </w:pPr>
            <w:r>
              <w:rPr>
                <w:rFonts w:ascii="Aptos" w:hAnsi="Aptos"/>
                <w:b w:val="false"/>
                <w:sz w:val="17"/>
              </w:rPr>
              <w:t>Periodic policy review exists.</w:t>
            </w:r>
          </w:p>
        </w:tc>
        <w:tc>
          <w:tcPr>
            <w:tcW w:w="2484" w:type="dxa"/>
            <w:tcBorders/>
            <w:vAlign w:val="center"/>
          </w:tcPr>
          <w:p w14:paraId="2E32801D">
            <w:pPr>
              <w:pStyle w:val="style0"/>
              <w:rPr/>
            </w:pPr>
            <w:r>
              <w:rPr>
                <w:rFonts w:ascii="Aptos" w:hAnsi="Aptos"/>
                <w:b w:val="false"/>
                <w:sz w:val="17"/>
              </w:rPr>
              <w:t>No defined policy owner, risk acceptance authority, metrics, exception register, or management review cycle.</w:t>
            </w:r>
          </w:p>
        </w:tc>
        <w:tc>
          <w:tcPr>
            <w:tcW w:w="2484" w:type="dxa"/>
            <w:tcBorders/>
            <w:vAlign w:val="center"/>
          </w:tcPr>
          <w:p w14:paraId="8208DF15">
            <w:pPr>
              <w:pStyle w:val="style0"/>
              <w:rPr/>
            </w:pPr>
            <w:r>
              <w:rPr>
                <w:rFonts w:ascii="Aptos" w:hAnsi="Aptos"/>
                <w:b w:val="false"/>
                <w:sz w:val="17"/>
              </w:rPr>
              <w:t>Medium-High</w:t>
            </w:r>
          </w:p>
        </w:tc>
      </w:tr>
    </w:tbl>
    <w:p w14:paraId="B30B0B8A">
      <w:pPr>
        <w:pStyle w:val="style1"/>
        <w:rPr/>
      </w:pPr>
      <w:r>
        <w:t>6. Benchmark Mapping to NIST CSF 2.0</w:t>
      </w:r>
    </w:p>
    <w:tbl>
      <w:tblPr>
        <w:tblStyle w:val="style154"/>
        <w:tblW w:w="0" w:type="auto"/>
        <w:jc w:val="center"/>
        <w:tblLook w:val="04A0" w:firstRow="1" w:lastRow="0" w:firstColumn="1" w:lastColumn="0" w:noHBand="0" w:noVBand="1"/>
      </w:tblPr>
      <w:tblGrid>
        <w:gridCol w:w="2484"/>
        <w:gridCol w:w="2484"/>
        <w:gridCol w:w="2484"/>
        <w:gridCol w:w="2484"/>
      </w:tblGrid>
      <w:tr w14:paraId="0E5AFAD5">
        <w:trPr>
          <w:jc w:val="center"/>
        </w:trPr>
        <w:tc>
          <w:tcPr>
            <w:tcW w:w="2484" w:type="dxa"/>
            <w:tcBorders/>
            <w:shd w:val="nil" w:color="auto" w:fill="d9eaf7"/>
            <w:vAlign w:val="center"/>
          </w:tcPr>
          <w:p w14:paraId="E367258A">
            <w:pPr>
              <w:pStyle w:val="style0"/>
              <w:rPr/>
            </w:pPr>
            <w:r>
              <w:rPr>
                <w:rFonts w:ascii="Aptos" w:hAnsi="Aptos"/>
                <w:b/>
                <w:sz w:val="18"/>
              </w:rPr>
              <w:t>CSF Function</w:t>
            </w:r>
          </w:p>
        </w:tc>
        <w:tc>
          <w:tcPr>
            <w:tcW w:w="2484" w:type="dxa"/>
            <w:tcBorders/>
            <w:shd w:val="nil" w:color="auto" w:fill="d9eaf7"/>
            <w:vAlign w:val="center"/>
          </w:tcPr>
          <w:p w14:paraId="52827247">
            <w:pPr>
              <w:pStyle w:val="style0"/>
              <w:rPr/>
            </w:pPr>
            <w:r>
              <w:rPr>
                <w:rFonts w:ascii="Aptos" w:hAnsi="Aptos"/>
                <w:b/>
                <w:sz w:val="18"/>
              </w:rPr>
              <w:t>Relevant outcomes</w:t>
            </w:r>
          </w:p>
        </w:tc>
        <w:tc>
          <w:tcPr>
            <w:tcW w:w="2484" w:type="dxa"/>
            <w:tcBorders/>
            <w:shd w:val="nil" w:color="auto" w:fill="d9eaf7"/>
            <w:vAlign w:val="center"/>
          </w:tcPr>
          <w:p w14:paraId="863B0B17">
            <w:pPr>
              <w:pStyle w:val="style0"/>
              <w:rPr/>
            </w:pPr>
            <w:r>
              <w:rPr>
                <w:rFonts w:ascii="Aptos" w:hAnsi="Aptos"/>
                <w:b/>
                <w:sz w:val="18"/>
              </w:rPr>
              <w:t>Baseline status</w:t>
            </w:r>
          </w:p>
        </w:tc>
        <w:tc>
          <w:tcPr>
            <w:tcW w:w="2484" w:type="dxa"/>
            <w:tcBorders/>
            <w:shd w:val="nil" w:color="auto" w:fill="d9eaf7"/>
            <w:vAlign w:val="center"/>
          </w:tcPr>
          <w:p w14:paraId="67894D5E">
            <w:pPr>
              <w:pStyle w:val="style0"/>
              <w:rPr/>
            </w:pPr>
            <w:r>
              <w:rPr>
                <w:rFonts w:ascii="Aptos" w:hAnsi="Aptos"/>
                <w:b/>
                <w:sz w:val="18"/>
              </w:rPr>
              <w:t>Improvement needed</w:t>
            </w:r>
          </w:p>
        </w:tc>
      </w:tr>
      <w:tr w14:paraId="86E82FBA">
        <w:tblPrEx/>
        <w:trPr>
          <w:jc w:val="center"/>
        </w:trPr>
        <w:tc>
          <w:tcPr>
            <w:tcW w:w="2484" w:type="dxa"/>
            <w:tcBorders/>
            <w:vAlign w:val="center"/>
          </w:tcPr>
          <w:p w14:paraId="F60286A4">
            <w:pPr>
              <w:pStyle w:val="style0"/>
              <w:rPr/>
            </w:pPr>
            <w:r>
              <w:rPr>
                <w:rFonts w:ascii="Aptos" w:hAnsi="Aptos"/>
                <w:b w:val="false"/>
                <w:sz w:val="17"/>
              </w:rPr>
              <w:t>Govern</w:t>
            </w:r>
          </w:p>
        </w:tc>
        <w:tc>
          <w:tcPr>
            <w:tcW w:w="2484" w:type="dxa"/>
            <w:tcBorders/>
            <w:vAlign w:val="center"/>
          </w:tcPr>
          <w:p w14:paraId="6E235E5E">
            <w:pPr>
              <w:pStyle w:val="style0"/>
              <w:rPr/>
            </w:pPr>
            <w:r>
              <w:rPr>
                <w:rFonts w:ascii="Aptos" w:hAnsi="Aptos"/>
                <w:b w:val="false"/>
                <w:sz w:val="17"/>
              </w:rPr>
              <w:t>Policy ownership, roles, risk tolerance, legal/contractual obligations, supplier governance.</w:t>
            </w:r>
          </w:p>
        </w:tc>
        <w:tc>
          <w:tcPr>
            <w:tcW w:w="2484" w:type="dxa"/>
            <w:tcBorders/>
            <w:vAlign w:val="center"/>
          </w:tcPr>
          <w:p w14:paraId="A084E730">
            <w:pPr>
              <w:pStyle w:val="style0"/>
              <w:rPr/>
            </w:pPr>
            <w:r>
              <w:rPr>
                <w:rFonts w:ascii="Aptos" w:hAnsi="Aptos"/>
                <w:b w:val="false"/>
                <w:sz w:val="17"/>
              </w:rPr>
              <w:t>Partially covered</w:t>
            </w:r>
          </w:p>
        </w:tc>
        <w:tc>
          <w:tcPr>
            <w:tcW w:w="2484" w:type="dxa"/>
            <w:tcBorders/>
            <w:vAlign w:val="center"/>
          </w:tcPr>
          <w:p w14:paraId="5C6EA2B8">
            <w:pPr>
              <w:pStyle w:val="style0"/>
              <w:rPr/>
            </w:pPr>
            <w:r>
              <w:rPr>
                <w:rFonts w:ascii="Aptos" w:hAnsi="Aptos"/>
                <w:b w:val="false"/>
                <w:sz w:val="17"/>
              </w:rPr>
              <w:t>Define governance roles, risk register, policy owner, exception and risk-acceptance process.</w:t>
            </w:r>
          </w:p>
        </w:tc>
      </w:tr>
      <w:tr w14:paraId="9BE9403E">
        <w:tblPrEx/>
        <w:trPr>
          <w:jc w:val="center"/>
        </w:trPr>
        <w:tc>
          <w:tcPr>
            <w:tcW w:w="2484" w:type="dxa"/>
            <w:tcBorders/>
            <w:vAlign w:val="center"/>
          </w:tcPr>
          <w:p w14:paraId="14E961FD">
            <w:pPr>
              <w:pStyle w:val="style0"/>
              <w:rPr/>
            </w:pPr>
            <w:r>
              <w:rPr>
                <w:rFonts w:ascii="Aptos" w:hAnsi="Aptos"/>
                <w:b w:val="false"/>
                <w:sz w:val="17"/>
              </w:rPr>
              <w:t>Identify</w:t>
            </w:r>
          </w:p>
        </w:tc>
        <w:tc>
          <w:tcPr>
            <w:tcW w:w="2484" w:type="dxa"/>
            <w:tcBorders/>
            <w:vAlign w:val="center"/>
          </w:tcPr>
          <w:p w14:paraId="B5040B74">
            <w:pPr>
              <w:pStyle w:val="style0"/>
              <w:rPr/>
            </w:pPr>
            <w:r>
              <w:rPr>
                <w:rFonts w:ascii="Aptos" w:hAnsi="Aptos"/>
                <w:b w:val="false"/>
                <w:sz w:val="17"/>
              </w:rPr>
              <w:t>Asset inventory, data classification, business impact, vulnerabilities, supplier risks.</w:t>
            </w:r>
          </w:p>
        </w:tc>
        <w:tc>
          <w:tcPr>
            <w:tcW w:w="2484" w:type="dxa"/>
            <w:tcBorders/>
            <w:vAlign w:val="center"/>
          </w:tcPr>
          <w:p w14:paraId="56214C3D">
            <w:pPr>
              <w:pStyle w:val="style0"/>
              <w:rPr/>
            </w:pPr>
            <w:r>
              <w:rPr>
                <w:rFonts w:ascii="Aptos" w:hAnsi="Aptos"/>
                <w:b w:val="false"/>
                <w:sz w:val="17"/>
              </w:rPr>
              <w:t>Weak / partial</w:t>
            </w:r>
          </w:p>
        </w:tc>
        <w:tc>
          <w:tcPr>
            <w:tcW w:w="2484" w:type="dxa"/>
            <w:tcBorders/>
            <w:vAlign w:val="center"/>
          </w:tcPr>
          <w:p w14:paraId="68909E2E">
            <w:pPr>
              <w:pStyle w:val="style0"/>
              <w:rPr/>
            </w:pPr>
            <w:r>
              <w:rPr>
                <w:rFonts w:ascii="Aptos" w:hAnsi="Aptos"/>
                <w:b w:val="false"/>
                <w:sz w:val="17"/>
              </w:rPr>
              <w:t>Maintain asset and data inventories; perform periodic risk assessments and supplier risk reviews.</w:t>
            </w:r>
          </w:p>
        </w:tc>
      </w:tr>
      <w:tr w14:paraId="4E162A1D">
        <w:tblPrEx/>
        <w:trPr>
          <w:jc w:val="center"/>
        </w:trPr>
        <w:tc>
          <w:tcPr>
            <w:tcW w:w="2484" w:type="dxa"/>
            <w:tcBorders/>
            <w:vAlign w:val="center"/>
          </w:tcPr>
          <w:p w14:paraId="BBE456C1">
            <w:pPr>
              <w:pStyle w:val="style0"/>
              <w:rPr/>
            </w:pPr>
            <w:r>
              <w:rPr>
                <w:rFonts w:ascii="Aptos" w:hAnsi="Aptos"/>
                <w:b w:val="false"/>
                <w:sz w:val="17"/>
              </w:rPr>
              <w:t>Protect</w:t>
            </w:r>
          </w:p>
        </w:tc>
        <w:tc>
          <w:tcPr>
            <w:tcW w:w="2484" w:type="dxa"/>
            <w:tcBorders/>
            <w:vAlign w:val="center"/>
          </w:tcPr>
          <w:p w14:paraId="2940489A">
            <w:pPr>
              <w:pStyle w:val="style0"/>
              <w:rPr/>
            </w:pPr>
            <w:r>
              <w:rPr>
                <w:rFonts w:ascii="Aptos" w:hAnsi="Aptos"/>
                <w:b w:val="false"/>
                <w:sz w:val="17"/>
              </w:rPr>
              <w:t>Identity, MFA, awareness, data security, secure configuration, patching, backups.</w:t>
            </w:r>
          </w:p>
        </w:tc>
        <w:tc>
          <w:tcPr>
            <w:tcW w:w="2484" w:type="dxa"/>
            <w:tcBorders/>
            <w:vAlign w:val="center"/>
          </w:tcPr>
          <w:p w14:paraId="C2946902">
            <w:pPr>
              <w:pStyle w:val="style0"/>
              <w:rPr/>
            </w:pPr>
            <w:r>
              <w:rPr>
                <w:rFonts w:ascii="Aptos" w:hAnsi="Aptos"/>
                <w:b w:val="false"/>
                <w:sz w:val="17"/>
              </w:rPr>
              <w:t>Partial</w:t>
            </w:r>
          </w:p>
        </w:tc>
        <w:tc>
          <w:tcPr>
            <w:tcW w:w="2484" w:type="dxa"/>
            <w:tcBorders/>
            <w:vAlign w:val="center"/>
          </w:tcPr>
          <w:p w14:paraId="0E235BCA">
            <w:pPr>
              <w:pStyle w:val="style0"/>
              <w:rPr/>
            </w:pPr>
            <w:r>
              <w:rPr>
                <w:rFonts w:ascii="Aptos" w:hAnsi="Aptos"/>
                <w:b w:val="false"/>
                <w:sz w:val="17"/>
              </w:rPr>
              <w:t>Make MFA and secure configuration explicit; define patch SLAs, encryption, training, and backup protections.</w:t>
            </w:r>
          </w:p>
        </w:tc>
      </w:tr>
      <w:tr w14:paraId="A12D2523">
        <w:tblPrEx/>
        <w:trPr>
          <w:jc w:val="center"/>
        </w:trPr>
        <w:tc>
          <w:tcPr>
            <w:tcW w:w="2484" w:type="dxa"/>
            <w:tcBorders/>
            <w:vAlign w:val="center"/>
          </w:tcPr>
          <w:p w14:paraId="92DBACF7">
            <w:pPr>
              <w:pStyle w:val="style0"/>
              <w:rPr/>
            </w:pPr>
            <w:r>
              <w:rPr>
                <w:rFonts w:ascii="Aptos" w:hAnsi="Aptos"/>
                <w:b w:val="false"/>
                <w:sz w:val="17"/>
              </w:rPr>
              <w:t>Detect</w:t>
            </w:r>
          </w:p>
        </w:tc>
        <w:tc>
          <w:tcPr>
            <w:tcW w:w="2484" w:type="dxa"/>
            <w:tcBorders/>
            <w:vAlign w:val="center"/>
          </w:tcPr>
          <w:p w14:paraId="95C258F8">
            <w:pPr>
              <w:pStyle w:val="style0"/>
              <w:rPr/>
            </w:pPr>
            <w:r>
              <w:rPr>
                <w:rFonts w:ascii="Aptos" w:hAnsi="Aptos"/>
                <w:b w:val="false"/>
                <w:sz w:val="17"/>
              </w:rPr>
              <w:t>Logging, monitoring, anomaly detection, vulnerability detection.</w:t>
            </w:r>
          </w:p>
        </w:tc>
        <w:tc>
          <w:tcPr>
            <w:tcW w:w="2484" w:type="dxa"/>
            <w:tcBorders/>
            <w:vAlign w:val="center"/>
          </w:tcPr>
          <w:p w14:paraId="07F283F4">
            <w:pPr>
              <w:pStyle w:val="style0"/>
              <w:rPr/>
            </w:pPr>
            <w:r>
              <w:rPr>
                <w:rFonts w:ascii="Aptos" w:hAnsi="Aptos"/>
                <w:b w:val="false"/>
                <w:sz w:val="17"/>
              </w:rPr>
              <w:t>Weak</w:t>
            </w:r>
          </w:p>
        </w:tc>
        <w:tc>
          <w:tcPr>
            <w:tcW w:w="2484" w:type="dxa"/>
            <w:tcBorders/>
            <w:vAlign w:val="center"/>
          </w:tcPr>
          <w:p w14:paraId="D3C80C9E">
            <w:pPr>
              <w:pStyle w:val="style0"/>
              <w:rPr/>
            </w:pPr>
            <w:r>
              <w:rPr>
                <w:rFonts w:ascii="Aptos" w:hAnsi="Aptos"/>
                <w:b w:val="false"/>
                <w:sz w:val="17"/>
              </w:rPr>
              <w:t>Centralize logs, define alerting and review responsibilities, and establish monitoring coverage.</w:t>
            </w:r>
          </w:p>
        </w:tc>
      </w:tr>
      <w:tr w14:paraId="6918314F">
        <w:tblPrEx/>
        <w:trPr>
          <w:jc w:val="center"/>
        </w:trPr>
        <w:tc>
          <w:tcPr>
            <w:tcW w:w="2484" w:type="dxa"/>
            <w:tcBorders/>
            <w:vAlign w:val="center"/>
          </w:tcPr>
          <w:p w14:paraId="4E48ADA3">
            <w:pPr>
              <w:pStyle w:val="style0"/>
              <w:rPr/>
            </w:pPr>
            <w:r>
              <w:rPr>
                <w:rFonts w:ascii="Aptos" w:hAnsi="Aptos"/>
                <w:b w:val="false"/>
                <w:sz w:val="17"/>
              </w:rPr>
              <w:t>Respond</w:t>
            </w:r>
          </w:p>
        </w:tc>
        <w:tc>
          <w:tcPr>
            <w:tcW w:w="2484" w:type="dxa"/>
            <w:tcBorders/>
            <w:vAlign w:val="center"/>
          </w:tcPr>
          <w:p w14:paraId="5305F472">
            <w:pPr>
              <w:pStyle w:val="style0"/>
              <w:rPr/>
            </w:pPr>
            <w:r>
              <w:rPr>
                <w:rFonts w:ascii="Aptos" w:hAnsi="Aptos"/>
                <w:b w:val="false"/>
                <w:sz w:val="17"/>
              </w:rPr>
              <w:t>Incident reporting, containment, communication, analysis, mitigation.</w:t>
            </w:r>
          </w:p>
        </w:tc>
        <w:tc>
          <w:tcPr>
            <w:tcW w:w="2484" w:type="dxa"/>
            <w:tcBorders/>
            <w:vAlign w:val="center"/>
          </w:tcPr>
          <w:p w14:paraId="D5097140">
            <w:pPr>
              <w:pStyle w:val="style0"/>
              <w:rPr/>
            </w:pPr>
            <w:r>
              <w:rPr>
                <w:rFonts w:ascii="Aptos" w:hAnsi="Aptos"/>
                <w:b w:val="false"/>
                <w:sz w:val="17"/>
              </w:rPr>
              <w:t>Partial</w:t>
            </w:r>
          </w:p>
        </w:tc>
        <w:tc>
          <w:tcPr>
            <w:tcW w:w="2484" w:type="dxa"/>
            <w:tcBorders/>
            <w:vAlign w:val="center"/>
          </w:tcPr>
          <w:p w14:paraId="5396DA7F">
            <w:pPr>
              <w:pStyle w:val="style0"/>
              <w:rPr/>
            </w:pPr>
            <w:r>
              <w:rPr>
                <w:rFonts w:ascii="Aptos" w:hAnsi="Aptos"/>
                <w:b w:val="false"/>
                <w:sz w:val="17"/>
              </w:rPr>
              <w:t>Create an incident-response plan with severity levels, roles, playbooks, evidence handling, and exercises.</w:t>
            </w:r>
          </w:p>
        </w:tc>
      </w:tr>
      <w:tr w14:paraId="BABA4139">
        <w:tblPrEx/>
        <w:trPr>
          <w:jc w:val="center"/>
        </w:trPr>
        <w:tc>
          <w:tcPr>
            <w:tcW w:w="2484" w:type="dxa"/>
            <w:tcBorders/>
            <w:vAlign w:val="center"/>
          </w:tcPr>
          <w:p w14:paraId="3985E18F">
            <w:pPr>
              <w:pStyle w:val="style0"/>
              <w:rPr/>
            </w:pPr>
            <w:r>
              <w:rPr>
                <w:rFonts w:ascii="Aptos" w:hAnsi="Aptos"/>
                <w:b w:val="false"/>
                <w:sz w:val="17"/>
              </w:rPr>
              <w:t>Recover</w:t>
            </w:r>
          </w:p>
        </w:tc>
        <w:tc>
          <w:tcPr>
            <w:tcW w:w="2484" w:type="dxa"/>
            <w:tcBorders/>
            <w:vAlign w:val="center"/>
          </w:tcPr>
          <w:p w14:paraId="B60BB1F6">
            <w:pPr>
              <w:pStyle w:val="style0"/>
              <w:rPr/>
            </w:pPr>
            <w:r>
              <w:rPr>
                <w:rFonts w:ascii="Aptos" w:hAnsi="Aptos"/>
                <w:b w:val="false"/>
                <w:sz w:val="17"/>
              </w:rPr>
              <w:t>Recovery planning, backups, restoration, communications, lessons learned.</w:t>
            </w:r>
          </w:p>
        </w:tc>
        <w:tc>
          <w:tcPr>
            <w:tcW w:w="2484" w:type="dxa"/>
            <w:tcBorders/>
            <w:vAlign w:val="center"/>
          </w:tcPr>
          <w:p w14:paraId="3D7E9FFA">
            <w:pPr>
              <w:pStyle w:val="style0"/>
              <w:rPr/>
            </w:pPr>
            <w:r>
              <w:rPr>
                <w:rFonts w:ascii="Aptos" w:hAnsi="Aptos"/>
                <w:b w:val="false"/>
                <w:sz w:val="17"/>
              </w:rPr>
              <w:t>Partial</w:t>
            </w:r>
          </w:p>
        </w:tc>
        <w:tc>
          <w:tcPr>
            <w:tcW w:w="2484" w:type="dxa"/>
            <w:tcBorders/>
            <w:vAlign w:val="center"/>
          </w:tcPr>
          <w:p w14:paraId="66F7DC86">
            <w:pPr>
              <w:pStyle w:val="style0"/>
              <w:rPr/>
            </w:pPr>
            <w:r>
              <w:rPr>
                <w:rFonts w:ascii="Aptos" w:hAnsi="Aptos"/>
                <w:b w:val="false"/>
                <w:sz w:val="17"/>
              </w:rPr>
              <w:t>Define RTO/RPO, test restores, maintain recovery plans, and document lessons learned.</w:t>
            </w:r>
          </w:p>
        </w:tc>
      </w:tr>
    </w:tbl>
    <w:p w14:paraId="DBB69200">
      <w:pPr>
        <w:pStyle w:val="style1"/>
        <w:rPr/>
      </w:pPr>
      <w:r>
        <w:t>7. Strengths of the Existing Policy</w:t>
      </w:r>
    </w:p>
    <w:p w14:paraId="BBD52335">
      <w:pPr>
        <w:pStyle w:val="style48"/>
        <w:spacing w:after="40"/>
        <w:rPr/>
      </w:pPr>
      <w:r>
        <w:t>It establishes a security baseline that applies to common employee activities.</w:t>
      </w:r>
    </w:p>
    <w:p w14:paraId="4FED1707">
      <w:pPr>
        <w:pStyle w:val="style48"/>
        <w:spacing w:after="40"/>
        <w:rPr/>
      </w:pPr>
      <w:r>
        <w:t>It recognizes access control and the principle that users should receive access based on job needs.</w:t>
      </w:r>
    </w:p>
    <w:p w14:paraId="2DF415A9">
      <w:pPr>
        <w:pStyle w:val="style48"/>
        <w:spacing w:after="40"/>
        <w:rPr/>
      </w:pPr>
      <w:r>
        <w:t>It addresses passwords, acceptable use, incident reporting, backups, remote work, awareness, vendors, and physical security.</w:t>
      </w:r>
    </w:p>
    <w:p w14:paraId="3201040C">
      <w:pPr>
        <w:pStyle w:val="style48"/>
        <w:spacing w:after="40"/>
        <w:rPr/>
      </w:pPr>
      <w:r>
        <w:t>It creates a foundation for accountability because users and managers have defined responsibilities.</w:t>
      </w:r>
    </w:p>
    <w:p w14:paraId="C3FFB05A">
      <w:pPr>
        <w:pStyle w:val="style48"/>
        <w:spacing w:after="40"/>
        <w:rPr/>
      </w:pPr>
      <w:r>
        <w:t>It includes policy review, which supports continual improvement.</w:t>
      </w:r>
    </w:p>
    <w:p w14:paraId="55993E54">
      <w:pPr>
        <w:pStyle w:val="style48"/>
        <w:spacing w:after="40"/>
        <w:rPr/>
      </w:pPr>
      <w:r>
        <w:t>Its language is generic enough to be adapted to organizations of different sizes.</w:t>
      </w:r>
    </w:p>
    <w:p w14:paraId="4E2E2294">
      <w:pPr>
        <w:pStyle w:val="style1"/>
        <w:rPr/>
      </w:pPr>
      <w:r>
        <w:t>8. Key Weaknesses and Security Gaps</w:t>
      </w:r>
    </w:p>
    <w:p w14:paraId="C41B1A17">
      <w:pPr>
        <w:pStyle w:val="style49"/>
        <w:spacing w:after="40"/>
        <w:rPr/>
      </w:pPr>
      <w:r>
        <w:t>MFA is not mandatory across critical applications, remote access, privileged accounts, and other high-risk scenarios.</w:t>
      </w:r>
    </w:p>
    <w:p w14:paraId="D8992D94">
      <w:pPr>
        <w:pStyle w:val="style49"/>
        <w:spacing w:after="40"/>
        <w:rPr/>
      </w:pPr>
      <w:r>
        <w:t>Access reviews and privileged-access controls are not defined with measurable frequency or approval requirements.</w:t>
      </w:r>
    </w:p>
    <w:p w14:paraId="6C7A0239">
      <w:pPr>
        <w:pStyle w:val="style49"/>
        <w:spacing w:after="40"/>
        <w:rPr/>
      </w:pPr>
      <w:r>
        <w:t>Asset inventory and data classification are not sufficiently formalized.</w:t>
      </w:r>
    </w:p>
    <w:p w14:paraId="FE452596">
      <w:pPr>
        <w:pStyle w:val="style49"/>
        <w:spacing w:after="40"/>
        <w:rPr/>
      </w:pPr>
      <w:r>
        <w:t>The policy does not establish clear patch-management and vulnerability-remediation deadlines.</w:t>
      </w:r>
    </w:p>
    <w:p w14:paraId="8380D8DE">
      <w:pPr>
        <w:pStyle w:val="style49"/>
        <w:spacing w:after="40"/>
        <w:rPr/>
      </w:pPr>
      <w:r>
        <w:t>Logging, monitoring, alerting, and log-retention requirements are missing.</w:t>
      </w:r>
    </w:p>
    <w:p w14:paraId="9BE74B5F">
      <w:pPr>
        <w:pStyle w:val="style49"/>
        <w:spacing w:after="40"/>
        <w:rPr/>
      </w:pPr>
      <w:r>
        <w:t>Incident response is limited to reporting; it does not define a complete response lifecycle.</w:t>
      </w:r>
    </w:p>
    <w:p w14:paraId="60094BDB">
      <w:pPr>
        <w:pStyle w:val="style49"/>
        <w:spacing w:after="40"/>
        <w:rPr/>
      </w:pPr>
      <w:r>
        <w:t>Backup requirements do not specify recovery objectives or restore testing.</w:t>
      </w:r>
    </w:p>
    <w:p w14:paraId="12D120A0">
      <w:pPr>
        <w:pStyle w:val="style49"/>
        <w:spacing w:after="40"/>
        <w:rPr/>
      </w:pPr>
      <w:r>
        <w:t>Third-party risk management is too general to consistently assess vendors.</w:t>
      </w:r>
    </w:p>
    <w:p w14:paraId="7668CF2B">
      <w:pPr>
        <w:pStyle w:val="style49"/>
        <w:spacing w:after="40"/>
        <w:rPr/>
      </w:pPr>
      <w:r>
        <w:t>Security awareness is not tied to measurable completion and effectiveness metrics.</w:t>
      </w:r>
    </w:p>
    <w:p w14:paraId="0A68EB9B">
      <w:pPr>
        <w:pStyle w:val="style49"/>
        <w:spacing w:after="40"/>
        <w:rPr/>
      </w:pPr>
      <w:r>
        <w:t>No explicit policy exception, risk acceptance, or disciplinary/enforcement process is defined.</w:t>
      </w:r>
    </w:p>
    <w:p w14:paraId="2B5C4219">
      <w:pPr>
        <w:pStyle w:val="style49"/>
        <w:spacing w:after="40"/>
        <w:rPr/>
      </w:pPr>
      <w:r>
        <w:t>There is no clear schedule for management review, control testing, or policy effectiveness measurement.</w:t>
      </w:r>
    </w:p>
    <w:p w14:paraId="3A1D6624">
      <w:pPr>
        <w:pStyle w:val="style1"/>
        <w:rPr/>
      </w:pPr>
      <w:r>
        <w:t>9. Actionable Improvement Recommendations</w:t>
      </w:r>
    </w:p>
    <w:p w14:paraId="9D137C3B">
      <w:pPr>
        <w:pStyle w:val="style0"/>
        <w:jc w:val="center"/>
        <w:rPr/>
      </w:pPr>
      <w:r>
        <w:rPr/>
        <w:drawing>
          <wp:inline distL="0" distT="0" distB="0" distR="0">
            <wp:extent cx="5577840" cy="3528271"/>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577840" cy="3528271"/>
                    </a:xfrm>
                    <a:prstGeom prst="rect"/>
                  </pic:spPr>
                </pic:pic>
              </a:graphicData>
            </a:graphic>
          </wp:inline>
        </w:drawing>
      </w:r>
    </w:p>
    <w:p w14:paraId="2A08AE20">
      <w:pPr>
        <w:pStyle w:val="style0"/>
        <w:jc w:val="center"/>
        <w:rPr/>
      </w:pPr>
      <w:r>
        <w:rPr>
          <w:i/>
          <w:sz w:val="18"/>
        </w:rPr>
        <w:t>Figure 2. Defense-in-depth model showing multiple complementary security layers.</w:t>
      </w:r>
    </w:p>
    <w:tbl>
      <w:tblPr>
        <w:tblStyle w:val="style154"/>
        <w:tblW w:w="0" w:type="auto"/>
        <w:jc w:val="center"/>
        <w:tblLook w:val="04A0" w:firstRow="1" w:lastRow="0" w:firstColumn="1" w:lastColumn="0" w:noHBand="0" w:noVBand="1"/>
      </w:tblPr>
      <w:tblGrid>
        <w:gridCol w:w="1987"/>
        <w:gridCol w:w="1987"/>
        <w:gridCol w:w="1987"/>
        <w:gridCol w:w="1987"/>
        <w:gridCol w:w="1987"/>
      </w:tblGrid>
      <w:tr w14:paraId="185101B2">
        <w:trPr>
          <w:jc w:val="center"/>
        </w:trPr>
        <w:tc>
          <w:tcPr>
            <w:tcW w:w="1987" w:type="dxa"/>
            <w:tcBorders/>
            <w:shd w:val="nil" w:color="auto" w:fill="d9eaf7"/>
            <w:vAlign w:val="center"/>
          </w:tcPr>
          <w:p w14:paraId="49DC4D9A">
            <w:pPr>
              <w:pStyle w:val="style0"/>
              <w:rPr/>
            </w:pPr>
            <w:r>
              <w:rPr>
                <w:rFonts w:ascii="Aptos" w:hAnsi="Aptos"/>
                <w:b/>
                <w:sz w:val="18"/>
              </w:rPr>
              <w:t>ID / Recommendation</w:t>
            </w:r>
          </w:p>
        </w:tc>
        <w:tc>
          <w:tcPr>
            <w:tcW w:w="1987" w:type="dxa"/>
            <w:tcBorders/>
            <w:shd w:val="nil" w:color="auto" w:fill="d9eaf7"/>
            <w:vAlign w:val="center"/>
          </w:tcPr>
          <w:p w14:paraId="4B91B35B">
            <w:pPr>
              <w:pStyle w:val="style0"/>
              <w:rPr/>
            </w:pPr>
            <w:r>
              <w:rPr>
                <w:rFonts w:ascii="Aptos" w:hAnsi="Aptos"/>
                <w:b/>
                <w:sz w:val="18"/>
              </w:rPr>
              <w:t>Action</w:t>
            </w:r>
          </w:p>
        </w:tc>
        <w:tc>
          <w:tcPr>
            <w:tcW w:w="1987" w:type="dxa"/>
            <w:tcBorders/>
            <w:shd w:val="nil" w:color="auto" w:fill="d9eaf7"/>
            <w:vAlign w:val="center"/>
          </w:tcPr>
          <w:p w14:paraId="BEB337E0">
            <w:pPr>
              <w:pStyle w:val="style0"/>
              <w:rPr/>
            </w:pPr>
            <w:r>
              <w:rPr>
                <w:rFonts w:ascii="Aptos" w:hAnsi="Aptos"/>
                <w:b/>
                <w:sz w:val="18"/>
              </w:rPr>
              <w:t>Expected impact</w:t>
            </w:r>
          </w:p>
        </w:tc>
        <w:tc>
          <w:tcPr>
            <w:tcW w:w="1987" w:type="dxa"/>
            <w:tcBorders/>
            <w:shd w:val="nil" w:color="auto" w:fill="d9eaf7"/>
            <w:vAlign w:val="center"/>
          </w:tcPr>
          <w:p w14:paraId="57C0A2F7">
            <w:pPr>
              <w:pStyle w:val="style0"/>
              <w:rPr/>
            </w:pPr>
            <w:r>
              <w:rPr>
                <w:rFonts w:ascii="Aptos" w:hAnsi="Aptos"/>
                <w:b/>
                <w:sz w:val="18"/>
              </w:rPr>
              <w:t>Timeframe</w:t>
            </w:r>
          </w:p>
        </w:tc>
        <w:tc>
          <w:tcPr>
            <w:tcW w:w="1987" w:type="dxa"/>
            <w:tcBorders/>
            <w:shd w:val="nil" w:color="auto" w:fill="d9eaf7"/>
            <w:vAlign w:val="center"/>
          </w:tcPr>
          <w:p w14:paraId="E0F0FC08">
            <w:pPr>
              <w:pStyle w:val="style0"/>
              <w:rPr/>
            </w:pPr>
            <w:r>
              <w:rPr>
                <w:rFonts w:ascii="Aptos" w:hAnsi="Aptos"/>
                <w:b/>
                <w:sz w:val="18"/>
              </w:rPr>
              <w:t>Owner</w:t>
            </w:r>
          </w:p>
        </w:tc>
      </w:tr>
      <w:tr w14:paraId="1B15E6E5">
        <w:tblPrEx/>
        <w:trPr>
          <w:jc w:val="center"/>
        </w:trPr>
        <w:tc>
          <w:tcPr>
            <w:tcW w:w="1987" w:type="dxa"/>
            <w:tcBorders/>
            <w:vAlign w:val="center"/>
          </w:tcPr>
          <w:p w14:paraId="3A81628F">
            <w:pPr>
              <w:pStyle w:val="style0"/>
              <w:rPr/>
            </w:pPr>
            <w:r>
              <w:rPr>
                <w:rFonts w:ascii="Aptos" w:hAnsi="Aptos"/>
                <w:b w:val="false"/>
                <w:sz w:val="17"/>
              </w:rPr>
              <w:t>R1 – Enforce MFA</w:t>
            </w:r>
          </w:p>
        </w:tc>
        <w:tc>
          <w:tcPr>
            <w:tcW w:w="1987" w:type="dxa"/>
            <w:tcBorders/>
            <w:vAlign w:val="center"/>
          </w:tcPr>
          <w:p w14:paraId="737E53D3">
            <w:pPr>
              <w:pStyle w:val="style0"/>
              <w:rPr/>
            </w:pPr>
            <w:r>
              <w:rPr>
                <w:rFonts w:ascii="Aptos" w:hAnsi="Aptos"/>
                <w:b w:val="false"/>
                <w:sz w:val="17"/>
              </w:rPr>
              <w:t>Require MFA for privileged accounts, remote access, email, cloud administration, and other high-risk systems; use phishing-resistant methods where practical.</w:t>
            </w:r>
          </w:p>
        </w:tc>
        <w:tc>
          <w:tcPr>
            <w:tcW w:w="1987" w:type="dxa"/>
            <w:tcBorders/>
            <w:vAlign w:val="center"/>
          </w:tcPr>
          <w:p w14:paraId="6FF6A821">
            <w:pPr>
              <w:pStyle w:val="style0"/>
              <w:rPr/>
            </w:pPr>
            <w:r>
              <w:rPr>
                <w:rFonts w:ascii="Aptos" w:hAnsi="Aptos"/>
                <w:b w:val="false"/>
                <w:sz w:val="17"/>
              </w:rPr>
              <w:t>Reduces risk from stolen passwords and account takeover.</w:t>
            </w:r>
          </w:p>
        </w:tc>
        <w:tc>
          <w:tcPr>
            <w:tcW w:w="1987" w:type="dxa"/>
            <w:tcBorders/>
            <w:vAlign w:val="center"/>
          </w:tcPr>
          <w:p w14:paraId="D424D49D">
            <w:pPr>
              <w:pStyle w:val="style0"/>
              <w:rPr/>
            </w:pPr>
            <w:r>
              <w:rPr>
                <w:rFonts w:ascii="Aptos" w:hAnsi="Aptos"/>
                <w:b w:val="false"/>
                <w:sz w:val="17"/>
              </w:rPr>
              <w:t>0–3 months</w:t>
            </w:r>
          </w:p>
        </w:tc>
        <w:tc>
          <w:tcPr>
            <w:tcW w:w="1987" w:type="dxa"/>
            <w:tcBorders/>
            <w:vAlign w:val="center"/>
          </w:tcPr>
          <w:p w14:paraId="C9335EAE">
            <w:pPr>
              <w:pStyle w:val="style0"/>
              <w:rPr/>
            </w:pPr>
            <w:r>
              <w:rPr>
                <w:rFonts w:ascii="Aptos" w:hAnsi="Aptos"/>
                <w:b w:val="false"/>
                <w:sz w:val="17"/>
              </w:rPr>
              <w:t>IT/Security</w:t>
            </w:r>
          </w:p>
        </w:tc>
      </w:tr>
      <w:tr w14:paraId="7AE65845">
        <w:tblPrEx/>
        <w:trPr>
          <w:jc w:val="center"/>
        </w:trPr>
        <w:tc>
          <w:tcPr>
            <w:tcW w:w="1987" w:type="dxa"/>
            <w:tcBorders/>
            <w:vAlign w:val="center"/>
          </w:tcPr>
          <w:p w14:paraId="73C848FD">
            <w:pPr>
              <w:pStyle w:val="style0"/>
              <w:rPr/>
            </w:pPr>
            <w:r>
              <w:rPr>
                <w:rFonts w:ascii="Aptos" w:hAnsi="Aptos"/>
                <w:b w:val="false"/>
                <w:sz w:val="17"/>
              </w:rPr>
              <w:t>R2 – Formalize IAM</w:t>
            </w:r>
          </w:p>
        </w:tc>
        <w:tc>
          <w:tcPr>
            <w:tcW w:w="1987" w:type="dxa"/>
            <w:tcBorders/>
            <w:vAlign w:val="center"/>
          </w:tcPr>
          <w:p w14:paraId="32FECD86">
            <w:pPr>
              <w:pStyle w:val="style0"/>
              <w:rPr/>
            </w:pPr>
            <w:r>
              <w:rPr>
                <w:rFonts w:ascii="Aptos" w:hAnsi="Aptos"/>
                <w:b w:val="false"/>
                <w:sz w:val="17"/>
              </w:rPr>
              <w:t>Implement joiner-mover-leaver procedures, least privilege, periodic access reviews, and privileged-account separation.</w:t>
            </w:r>
          </w:p>
        </w:tc>
        <w:tc>
          <w:tcPr>
            <w:tcW w:w="1987" w:type="dxa"/>
            <w:tcBorders/>
            <w:vAlign w:val="center"/>
          </w:tcPr>
          <w:p w14:paraId="6C239A8C">
            <w:pPr>
              <w:pStyle w:val="style0"/>
              <w:rPr/>
            </w:pPr>
            <w:r>
              <w:rPr>
                <w:rFonts w:ascii="Aptos" w:hAnsi="Aptos"/>
                <w:b w:val="false"/>
                <w:sz w:val="17"/>
              </w:rPr>
              <w:t>Limits unnecessary access and reduces orphaned or excessive permissions.</w:t>
            </w:r>
          </w:p>
        </w:tc>
        <w:tc>
          <w:tcPr>
            <w:tcW w:w="1987" w:type="dxa"/>
            <w:tcBorders/>
            <w:vAlign w:val="center"/>
          </w:tcPr>
          <w:p w14:paraId="202E3D43">
            <w:pPr>
              <w:pStyle w:val="style0"/>
              <w:rPr/>
            </w:pPr>
            <w:r>
              <w:rPr>
                <w:rFonts w:ascii="Aptos" w:hAnsi="Aptos"/>
                <w:b w:val="false"/>
                <w:sz w:val="17"/>
              </w:rPr>
              <w:t>0–3 months</w:t>
            </w:r>
          </w:p>
        </w:tc>
        <w:tc>
          <w:tcPr>
            <w:tcW w:w="1987" w:type="dxa"/>
            <w:tcBorders/>
            <w:vAlign w:val="center"/>
          </w:tcPr>
          <w:p w14:paraId="39D3E3D4">
            <w:pPr>
              <w:pStyle w:val="style0"/>
              <w:rPr/>
            </w:pPr>
            <w:r>
              <w:rPr>
                <w:rFonts w:ascii="Aptos" w:hAnsi="Aptos"/>
                <w:b w:val="false"/>
                <w:sz w:val="17"/>
              </w:rPr>
              <w:t>IT + HR</w:t>
            </w:r>
          </w:p>
        </w:tc>
      </w:tr>
      <w:tr w14:paraId="FFA118FF">
        <w:tblPrEx/>
        <w:trPr>
          <w:jc w:val="center"/>
        </w:trPr>
        <w:tc>
          <w:tcPr>
            <w:tcW w:w="1987" w:type="dxa"/>
            <w:tcBorders/>
            <w:vAlign w:val="center"/>
          </w:tcPr>
          <w:p w14:paraId="D09B99D0">
            <w:pPr>
              <w:pStyle w:val="style0"/>
              <w:rPr/>
            </w:pPr>
            <w:r>
              <w:rPr>
                <w:rFonts w:ascii="Aptos" w:hAnsi="Aptos"/>
                <w:b w:val="false"/>
                <w:sz w:val="17"/>
              </w:rPr>
              <w:t>R3 – Create asset &amp; data inventories</w:t>
            </w:r>
          </w:p>
        </w:tc>
        <w:tc>
          <w:tcPr>
            <w:tcW w:w="1987" w:type="dxa"/>
            <w:tcBorders/>
            <w:vAlign w:val="center"/>
          </w:tcPr>
          <w:p w14:paraId="1903BFE7">
            <w:pPr>
              <w:pStyle w:val="style0"/>
              <w:rPr/>
            </w:pPr>
            <w:r>
              <w:rPr>
                <w:rFonts w:ascii="Aptos" w:hAnsi="Aptos"/>
                <w:b w:val="false"/>
                <w:sz w:val="17"/>
              </w:rPr>
              <w:t>Maintain an owner, classification, location, criticality, and lifecycle status for important assets and data.</w:t>
            </w:r>
          </w:p>
        </w:tc>
        <w:tc>
          <w:tcPr>
            <w:tcW w:w="1987" w:type="dxa"/>
            <w:tcBorders/>
            <w:vAlign w:val="center"/>
          </w:tcPr>
          <w:p w14:paraId="14D388ED">
            <w:pPr>
              <w:pStyle w:val="style0"/>
              <w:rPr/>
            </w:pPr>
            <w:r>
              <w:rPr>
                <w:rFonts w:ascii="Aptos" w:hAnsi="Aptos"/>
                <w:b w:val="false"/>
                <w:sz w:val="17"/>
              </w:rPr>
              <w:t>Improves risk visibility and supports incident response and recovery.</w:t>
            </w:r>
          </w:p>
        </w:tc>
        <w:tc>
          <w:tcPr>
            <w:tcW w:w="1987" w:type="dxa"/>
            <w:tcBorders/>
            <w:vAlign w:val="center"/>
          </w:tcPr>
          <w:p w14:paraId="13A619DB">
            <w:pPr>
              <w:pStyle w:val="style0"/>
              <w:rPr/>
            </w:pPr>
            <w:r>
              <w:rPr>
                <w:rFonts w:ascii="Aptos" w:hAnsi="Aptos"/>
                <w:b w:val="false"/>
                <w:sz w:val="17"/>
              </w:rPr>
              <w:t>0–6 months</w:t>
            </w:r>
          </w:p>
        </w:tc>
        <w:tc>
          <w:tcPr>
            <w:tcW w:w="1987" w:type="dxa"/>
            <w:tcBorders/>
            <w:vAlign w:val="center"/>
          </w:tcPr>
          <w:p w14:paraId="A4B180C7">
            <w:pPr>
              <w:pStyle w:val="style0"/>
              <w:rPr/>
            </w:pPr>
            <w:r>
              <w:rPr>
                <w:rFonts w:ascii="Aptos" w:hAnsi="Aptos"/>
                <w:b w:val="false"/>
                <w:sz w:val="17"/>
              </w:rPr>
              <w:t>IT/Data Owners</w:t>
            </w:r>
          </w:p>
        </w:tc>
      </w:tr>
      <w:tr w14:paraId="44020615">
        <w:tblPrEx/>
        <w:trPr>
          <w:jc w:val="center"/>
        </w:trPr>
        <w:tc>
          <w:tcPr>
            <w:tcW w:w="1987" w:type="dxa"/>
            <w:tcBorders/>
            <w:vAlign w:val="center"/>
          </w:tcPr>
          <w:p w14:paraId="582F26D7">
            <w:pPr>
              <w:pStyle w:val="style0"/>
              <w:rPr/>
            </w:pPr>
            <w:r>
              <w:rPr>
                <w:rFonts w:ascii="Aptos" w:hAnsi="Aptos"/>
                <w:b w:val="false"/>
                <w:sz w:val="17"/>
              </w:rPr>
              <w:t>R4 – Define patch SLAs</w:t>
            </w:r>
          </w:p>
        </w:tc>
        <w:tc>
          <w:tcPr>
            <w:tcW w:w="1987" w:type="dxa"/>
            <w:tcBorders/>
            <w:vAlign w:val="center"/>
          </w:tcPr>
          <w:p w14:paraId="FE4A0659">
            <w:pPr>
              <w:pStyle w:val="style0"/>
              <w:rPr/>
            </w:pPr>
            <w:r>
              <w:rPr>
                <w:rFonts w:ascii="Aptos" w:hAnsi="Aptos"/>
                <w:b w:val="false"/>
                <w:sz w:val="17"/>
              </w:rPr>
              <w:t>Set risk-based remediation deadlines for critical/high vulnerabilities and track exceptions.</w:t>
            </w:r>
          </w:p>
        </w:tc>
        <w:tc>
          <w:tcPr>
            <w:tcW w:w="1987" w:type="dxa"/>
            <w:tcBorders/>
            <w:vAlign w:val="center"/>
          </w:tcPr>
          <w:p w14:paraId="603FF643">
            <w:pPr>
              <w:pStyle w:val="style0"/>
              <w:rPr/>
            </w:pPr>
            <w:r>
              <w:rPr>
                <w:rFonts w:ascii="Aptos" w:hAnsi="Aptos"/>
                <w:b w:val="false"/>
                <w:sz w:val="17"/>
              </w:rPr>
              <w:t>Reduces exposure to known vulnerabilities.</w:t>
            </w:r>
          </w:p>
        </w:tc>
        <w:tc>
          <w:tcPr>
            <w:tcW w:w="1987" w:type="dxa"/>
            <w:tcBorders/>
            <w:vAlign w:val="center"/>
          </w:tcPr>
          <w:p w14:paraId="3449CDD9">
            <w:pPr>
              <w:pStyle w:val="style0"/>
              <w:rPr/>
            </w:pPr>
            <w:r>
              <w:rPr>
                <w:rFonts w:ascii="Aptos" w:hAnsi="Aptos"/>
                <w:b w:val="false"/>
                <w:sz w:val="17"/>
              </w:rPr>
              <w:t>0–3 months</w:t>
            </w:r>
          </w:p>
        </w:tc>
        <w:tc>
          <w:tcPr>
            <w:tcW w:w="1987" w:type="dxa"/>
            <w:tcBorders/>
            <w:vAlign w:val="center"/>
          </w:tcPr>
          <w:p w14:paraId="331DB5F5">
            <w:pPr>
              <w:pStyle w:val="style0"/>
              <w:rPr/>
            </w:pPr>
            <w:r>
              <w:rPr>
                <w:rFonts w:ascii="Aptos" w:hAnsi="Aptos"/>
                <w:b w:val="false"/>
                <w:sz w:val="17"/>
              </w:rPr>
              <w:t>IT/Security</w:t>
            </w:r>
          </w:p>
        </w:tc>
      </w:tr>
      <w:tr w14:paraId="C6664883">
        <w:tblPrEx/>
        <w:trPr>
          <w:jc w:val="center"/>
        </w:trPr>
        <w:tc>
          <w:tcPr>
            <w:tcW w:w="1987" w:type="dxa"/>
            <w:tcBorders/>
            <w:vAlign w:val="center"/>
          </w:tcPr>
          <w:p w14:paraId="D7E9454A">
            <w:pPr>
              <w:pStyle w:val="style0"/>
              <w:rPr/>
            </w:pPr>
            <w:r>
              <w:rPr>
                <w:rFonts w:ascii="Aptos" w:hAnsi="Aptos"/>
                <w:b w:val="false"/>
                <w:sz w:val="17"/>
              </w:rPr>
              <w:t>R5 – Centralize logging</w:t>
            </w:r>
          </w:p>
        </w:tc>
        <w:tc>
          <w:tcPr>
            <w:tcW w:w="1987" w:type="dxa"/>
            <w:tcBorders/>
            <w:vAlign w:val="center"/>
          </w:tcPr>
          <w:p w14:paraId="2A93E749">
            <w:pPr>
              <w:pStyle w:val="style0"/>
              <w:rPr/>
            </w:pPr>
            <w:r>
              <w:rPr>
                <w:rFonts w:ascii="Aptos" w:hAnsi="Aptos"/>
                <w:b w:val="false"/>
                <w:sz w:val="17"/>
              </w:rPr>
              <w:t>Collect key authentication, endpoint, network, cloud, and security logs in a centralized monitoring solution with defined retention and review.</w:t>
            </w:r>
          </w:p>
        </w:tc>
        <w:tc>
          <w:tcPr>
            <w:tcW w:w="1987" w:type="dxa"/>
            <w:tcBorders/>
            <w:vAlign w:val="center"/>
          </w:tcPr>
          <w:p w14:paraId="E4B00B7C">
            <w:pPr>
              <w:pStyle w:val="style0"/>
              <w:rPr/>
            </w:pPr>
            <w:r>
              <w:rPr>
                <w:rFonts w:ascii="Aptos" w:hAnsi="Aptos"/>
                <w:b w:val="false"/>
                <w:sz w:val="17"/>
              </w:rPr>
              <w:t>Improves detection and investigation capability.</w:t>
            </w:r>
          </w:p>
        </w:tc>
        <w:tc>
          <w:tcPr>
            <w:tcW w:w="1987" w:type="dxa"/>
            <w:tcBorders/>
            <w:vAlign w:val="center"/>
          </w:tcPr>
          <w:p w14:paraId="E7683634">
            <w:pPr>
              <w:pStyle w:val="style0"/>
              <w:rPr/>
            </w:pPr>
            <w:r>
              <w:rPr>
                <w:rFonts w:ascii="Aptos" w:hAnsi="Aptos"/>
                <w:b w:val="false"/>
                <w:sz w:val="17"/>
              </w:rPr>
              <w:t>3–6 months</w:t>
            </w:r>
          </w:p>
        </w:tc>
        <w:tc>
          <w:tcPr>
            <w:tcW w:w="1987" w:type="dxa"/>
            <w:tcBorders/>
            <w:vAlign w:val="center"/>
          </w:tcPr>
          <w:p w14:paraId="557122FA">
            <w:pPr>
              <w:pStyle w:val="style0"/>
              <w:rPr/>
            </w:pPr>
            <w:r>
              <w:rPr>
                <w:rFonts w:ascii="Aptos" w:hAnsi="Aptos"/>
                <w:b w:val="false"/>
                <w:sz w:val="17"/>
              </w:rPr>
              <w:t>Security/IT</w:t>
            </w:r>
          </w:p>
        </w:tc>
      </w:tr>
      <w:tr w14:paraId="2FE49C94">
        <w:tblPrEx/>
        <w:trPr>
          <w:jc w:val="center"/>
        </w:trPr>
        <w:tc>
          <w:tcPr>
            <w:tcW w:w="1987" w:type="dxa"/>
            <w:tcBorders/>
            <w:vAlign w:val="center"/>
          </w:tcPr>
          <w:p w14:paraId="9C7343C7">
            <w:pPr>
              <w:pStyle w:val="style0"/>
              <w:rPr/>
            </w:pPr>
            <w:r>
              <w:rPr>
                <w:rFonts w:ascii="Aptos" w:hAnsi="Aptos"/>
                <w:b w:val="false"/>
                <w:sz w:val="17"/>
              </w:rPr>
              <w:t>R6 – Build an incident-response plan</w:t>
            </w:r>
          </w:p>
        </w:tc>
        <w:tc>
          <w:tcPr>
            <w:tcW w:w="1987" w:type="dxa"/>
            <w:tcBorders/>
            <w:vAlign w:val="center"/>
          </w:tcPr>
          <w:p w14:paraId="8B0E8E37">
            <w:pPr>
              <w:pStyle w:val="style0"/>
              <w:rPr/>
            </w:pPr>
            <w:r>
              <w:rPr>
                <w:rFonts w:ascii="Aptos" w:hAnsi="Aptos"/>
                <w:b w:val="false"/>
                <w:sz w:val="17"/>
              </w:rPr>
              <w:t>Define severity levels, roles, escalation, containment, evidence preservation, communications, recovery, and post-incident review.</w:t>
            </w:r>
          </w:p>
        </w:tc>
        <w:tc>
          <w:tcPr>
            <w:tcW w:w="1987" w:type="dxa"/>
            <w:tcBorders/>
            <w:vAlign w:val="center"/>
          </w:tcPr>
          <w:p w14:paraId="3E08B3B5">
            <w:pPr>
              <w:pStyle w:val="style0"/>
              <w:rPr/>
            </w:pPr>
            <w:r>
              <w:rPr>
                <w:rFonts w:ascii="Aptos" w:hAnsi="Aptos"/>
                <w:b w:val="false"/>
                <w:sz w:val="17"/>
              </w:rPr>
              <w:t>Creates a repeatable response process and reduces confusion during incidents.</w:t>
            </w:r>
          </w:p>
        </w:tc>
        <w:tc>
          <w:tcPr>
            <w:tcW w:w="1987" w:type="dxa"/>
            <w:tcBorders/>
            <w:vAlign w:val="center"/>
          </w:tcPr>
          <w:p w14:paraId="6D1D78F2">
            <w:pPr>
              <w:pStyle w:val="style0"/>
              <w:rPr/>
            </w:pPr>
            <w:r>
              <w:rPr>
                <w:rFonts w:ascii="Aptos" w:hAnsi="Aptos"/>
                <w:b w:val="false"/>
                <w:sz w:val="17"/>
              </w:rPr>
              <w:t>0–3 months</w:t>
            </w:r>
          </w:p>
        </w:tc>
        <w:tc>
          <w:tcPr>
            <w:tcW w:w="1987" w:type="dxa"/>
            <w:tcBorders/>
            <w:vAlign w:val="center"/>
          </w:tcPr>
          <w:p w14:paraId="0A6A1F5F">
            <w:pPr>
              <w:pStyle w:val="style0"/>
              <w:rPr/>
            </w:pPr>
            <w:r>
              <w:rPr>
                <w:rFonts w:ascii="Aptos" w:hAnsi="Aptos"/>
                <w:b w:val="false"/>
                <w:sz w:val="17"/>
              </w:rPr>
              <w:t>Security/Management</w:t>
            </w:r>
          </w:p>
        </w:tc>
      </w:tr>
      <w:tr w14:paraId="0138C398">
        <w:tblPrEx/>
        <w:trPr>
          <w:jc w:val="center"/>
        </w:trPr>
        <w:tc>
          <w:tcPr>
            <w:tcW w:w="1987" w:type="dxa"/>
            <w:tcBorders/>
            <w:vAlign w:val="center"/>
          </w:tcPr>
          <w:p w14:paraId="9F714848">
            <w:pPr>
              <w:pStyle w:val="style0"/>
              <w:rPr/>
            </w:pPr>
            <w:r>
              <w:rPr>
                <w:rFonts w:ascii="Aptos" w:hAnsi="Aptos"/>
                <w:b w:val="false"/>
                <w:sz w:val="17"/>
              </w:rPr>
              <w:t>R7 – Test backups and recovery</w:t>
            </w:r>
          </w:p>
        </w:tc>
        <w:tc>
          <w:tcPr>
            <w:tcW w:w="1987" w:type="dxa"/>
            <w:tcBorders/>
            <w:vAlign w:val="center"/>
          </w:tcPr>
          <w:p w14:paraId="2915B3A6">
            <w:pPr>
              <w:pStyle w:val="style0"/>
              <w:rPr/>
            </w:pPr>
            <w:r>
              <w:rPr>
                <w:rFonts w:ascii="Aptos" w:hAnsi="Aptos"/>
                <w:b w:val="false"/>
                <w:sz w:val="17"/>
              </w:rPr>
              <w:t>Define RTO/RPO for critical services, protect backups from unauthorized alteration, and perform scheduled restore tests.</w:t>
            </w:r>
          </w:p>
        </w:tc>
        <w:tc>
          <w:tcPr>
            <w:tcW w:w="1987" w:type="dxa"/>
            <w:tcBorders/>
            <w:vAlign w:val="center"/>
          </w:tcPr>
          <w:p w14:paraId="DB6DBF3E">
            <w:pPr>
              <w:pStyle w:val="style0"/>
              <w:rPr/>
            </w:pPr>
            <w:r>
              <w:rPr>
                <w:rFonts w:ascii="Aptos" w:hAnsi="Aptos"/>
                <w:b w:val="false"/>
                <w:sz w:val="17"/>
              </w:rPr>
              <w:t>Improves resilience against ransomware, accidental deletion, and outages.</w:t>
            </w:r>
          </w:p>
        </w:tc>
        <w:tc>
          <w:tcPr>
            <w:tcW w:w="1987" w:type="dxa"/>
            <w:tcBorders/>
            <w:vAlign w:val="center"/>
          </w:tcPr>
          <w:p w14:paraId="227B433B">
            <w:pPr>
              <w:pStyle w:val="style0"/>
              <w:rPr/>
            </w:pPr>
            <w:r>
              <w:rPr>
                <w:rFonts w:ascii="Aptos" w:hAnsi="Aptos"/>
                <w:b w:val="false"/>
                <w:sz w:val="17"/>
              </w:rPr>
              <w:t>0–6 months</w:t>
            </w:r>
          </w:p>
        </w:tc>
        <w:tc>
          <w:tcPr>
            <w:tcW w:w="1987" w:type="dxa"/>
            <w:tcBorders/>
            <w:vAlign w:val="center"/>
          </w:tcPr>
          <w:p w14:paraId="6DE38BDE">
            <w:pPr>
              <w:pStyle w:val="style0"/>
              <w:rPr/>
            </w:pPr>
            <w:r>
              <w:rPr>
                <w:rFonts w:ascii="Aptos" w:hAnsi="Aptos"/>
                <w:b w:val="false"/>
                <w:sz w:val="17"/>
              </w:rPr>
              <w:t>IT/BCP</w:t>
            </w:r>
          </w:p>
        </w:tc>
      </w:tr>
      <w:tr w14:paraId="3DD257C8">
        <w:tblPrEx/>
        <w:trPr>
          <w:jc w:val="center"/>
        </w:trPr>
        <w:tc>
          <w:tcPr>
            <w:tcW w:w="1987" w:type="dxa"/>
            <w:tcBorders/>
            <w:vAlign w:val="center"/>
          </w:tcPr>
          <w:p w14:paraId="17653D7F">
            <w:pPr>
              <w:pStyle w:val="style0"/>
              <w:rPr/>
            </w:pPr>
            <w:r>
              <w:rPr>
                <w:rFonts w:ascii="Aptos" w:hAnsi="Aptos"/>
                <w:b w:val="false"/>
                <w:sz w:val="17"/>
              </w:rPr>
              <w:t>R8 – Strengthen vendor security</w:t>
            </w:r>
          </w:p>
        </w:tc>
        <w:tc>
          <w:tcPr>
            <w:tcW w:w="1987" w:type="dxa"/>
            <w:tcBorders/>
            <w:vAlign w:val="center"/>
          </w:tcPr>
          <w:p w14:paraId="B21A31D2">
            <w:pPr>
              <w:pStyle w:val="style0"/>
              <w:rPr/>
            </w:pPr>
            <w:r>
              <w:rPr>
                <w:rFonts w:ascii="Aptos" w:hAnsi="Aptos"/>
                <w:b w:val="false"/>
                <w:sz w:val="17"/>
              </w:rPr>
              <w:t>Tier suppliers by risk; perform due diligence and include security, breach notification, access, data handling, and offboarding clauses.</w:t>
            </w:r>
          </w:p>
        </w:tc>
        <w:tc>
          <w:tcPr>
            <w:tcW w:w="1987" w:type="dxa"/>
            <w:tcBorders/>
            <w:vAlign w:val="center"/>
          </w:tcPr>
          <w:p w14:paraId="6A6A6374">
            <w:pPr>
              <w:pStyle w:val="style0"/>
              <w:rPr/>
            </w:pPr>
            <w:r>
              <w:rPr>
                <w:rFonts w:ascii="Aptos" w:hAnsi="Aptos"/>
                <w:b w:val="false"/>
                <w:sz w:val="17"/>
              </w:rPr>
              <w:t>Reduces supply-chain and third-party risk.</w:t>
            </w:r>
          </w:p>
        </w:tc>
        <w:tc>
          <w:tcPr>
            <w:tcW w:w="1987" w:type="dxa"/>
            <w:tcBorders/>
            <w:vAlign w:val="center"/>
          </w:tcPr>
          <w:p w14:paraId="B62B8451">
            <w:pPr>
              <w:pStyle w:val="style0"/>
              <w:rPr/>
            </w:pPr>
            <w:r>
              <w:rPr>
                <w:rFonts w:ascii="Aptos" w:hAnsi="Aptos"/>
                <w:b w:val="false"/>
                <w:sz w:val="17"/>
              </w:rPr>
              <w:t>3–9 months</w:t>
            </w:r>
          </w:p>
        </w:tc>
        <w:tc>
          <w:tcPr>
            <w:tcW w:w="1987" w:type="dxa"/>
            <w:tcBorders/>
            <w:vAlign w:val="center"/>
          </w:tcPr>
          <w:p w14:paraId="5D5F7DEB">
            <w:pPr>
              <w:pStyle w:val="style0"/>
              <w:rPr/>
            </w:pPr>
            <w:r>
              <w:rPr>
                <w:rFonts w:ascii="Aptos" w:hAnsi="Aptos"/>
                <w:b w:val="false"/>
                <w:sz w:val="17"/>
              </w:rPr>
              <w:t>Procurement + Security</w:t>
            </w:r>
          </w:p>
        </w:tc>
      </w:tr>
      <w:tr w14:paraId="FCFFC2C0">
        <w:tblPrEx/>
        <w:trPr>
          <w:jc w:val="center"/>
        </w:trPr>
        <w:tc>
          <w:tcPr>
            <w:tcW w:w="1987" w:type="dxa"/>
            <w:tcBorders/>
            <w:vAlign w:val="center"/>
          </w:tcPr>
          <w:p w14:paraId="2C06A155">
            <w:pPr>
              <w:pStyle w:val="style0"/>
              <w:rPr/>
            </w:pPr>
            <w:r>
              <w:rPr>
                <w:rFonts w:ascii="Aptos" w:hAnsi="Aptos"/>
                <w:b w:val="false"/>
                <w:sz w:val="17"/>
              </w:rPr>
              <w:t>R9 – Improve awareness</w:t>
            </w:r>
          </w:p>
        </w:tc>
        <w:tc>
          <w:tcPr>
            <w:tcW w:w="1987" w:type="dxa"/>
            <w:tcBorders/>
            <w:vAlign w:val="center"/>
          </w:tcPr>
          <w:p w14:paraId="3E726E8B">
            <w:pPr>
              <w:pStyle w:val="style0"/>
              <w:rPr/>
            </w:pPr>
            <w:r>
              <w:rPr>
                <w:rFonts w:ascii="Aptos" w:hAnsi="Aptos"/>
                <w:b w:val="false"/>
                <w:sz w:val="17"/>
              </w:rPr>
              <w:t>Provide annual baseline training plus role-based training and periodic phishing exercises.</w:t>
            </w:r>
          </w:p>
        </w:tc>
        <w:tc>
          <w:tcPr>
            <w:tcW w:w="1987" w:type="dxa"/>
            <w:tcBorders/>
            <w:vAlign w:val="center"/>
          </w:tcPr>
          <w:p w14:paraId="780EAF00">
            <w:pPr>
              <w:pStyle w:val="style0"/>
              <w:rPr/>
            </w:pPr>
            <w:r>
              <w:rPr>
                <w:rFonts w:ascii="Aptos" w:hAnsi="Aptos"/>
                <w:b w:val="false"/>
                <w:sz w:val="17"/>
              </w:rPr>
              <w:t>Improves human-layer defenses and provides measurable awareness outcomes.</w:t>
            </w:r>
          </w:p>
        </w:tc>
        <w:tc>
          <w:tcPr>
            <w:tcW w:w="1987" w:type="dxa"/>
            <w:tcBorders/>
            <w:vAlign w:val="center"/>
          </w:tcPr>
          <w:p w14:paraId="1E4874C0">
            <w:pPr>
              <w:pStyle w:val="style0"/>
              <w:rPr/>
            </w:pPr>
            <w:r>
              <w:rPr>
                <w:rFonts w:ascii="Aptos" w:hAnsi="Aptos"/>
                <w:b w:val="false"/>
                <w:sz w:val="17"/>
              </w:rPr>
              <w:t>0–6 months</w:t>
            </w:r>
          </w:p>
        </w:tc>
        <w:tc>
          <w:tcPr>
            <w:tcW w:w="1987" w:type="dxa"/>
            <w:tcBorders/>
            <w:vAlign w:val="center"/>
          </w:tcPr>
          <w:p w14:paraId="14CE4375">
            <w:pPr>
              <w:pStyle w:val="style0"/>
              <w:rPr/>
            </w:pPr>
            <w:r>
              <w:rPr>
                <w:rFonts w:ascii="Aptos" w:hAnsi="Aptos"/>
                <w:b w:val="false"/>
                <w:sz w:val="17"/>
              </w:rPr>
              <w:t>HR + Security</w:t>
            </w:r>
          </w:p>
        </w:tc>
      </w:tr>
      <w:tr w14:paraId="61A55F66">
        <w:tblPrEx/>
        <w:trPr>
          <w:jc w:val="center"/>
        </w:trPr>
        <w:tc>
          <w:tcPr>
            <w:tcW w:w="1987" w:type="dxa"/>
            <w:tcBorders/>
            <w:vAlign w:val="center"/>
          </w:tcPr>
          <w:p w14:paraId="CFAB0444">
            <w:pPr>
              <w:pStyle w:val="style0"/>
              <w:rPr/>
            </w:pPr>
            <w:r>
              <w:rPr>
                <w:rFonts w:ascii="Aptos" w:hAnsi="Aptos"/>
                <w:b w:val="false"/>
                <w:sz w:val="17"/>
              </w:rPr>
              <w:t>R10 – Governance &amp; metrics</w:t>
            </w:r>
          </w:p>
        </w:tc>
        <w:tc>
          <w:tcPr>
            <w:tcW w:w="1987" w:type="dxa"/>
            <w:tcBorders/>
            <w:vAlign w:val="center"/>
          </w:tcPr>
          <w:p w14:paraId="562B0881">
            <w:pPr>
              <w:pStyle w:val="style0"/>
              <w:rPr/>
            </w:pPr>
            <w:r>
              <w:rPr>
                <w:rFonts w:ascii="Aptos" w:hAnsi="Aptos"/>
                <w:b w:val="false"/>
                <w:sz w:val="17"/>
              </w:rPr>
              <w:t>Assign policy ownership, maintain exceptions/risk acceptance, review metrics quarterly, and perform an annual policy review.</w:t>
            </w:r>
          </w:p>
        </w:tc>
        <w:tc>
          <w:tcPr>
            <w:tcW w:w="1987" w:type="dxa"/>
            <w:tcBorders/>
            <w:vAlign w:val="center"/>
          </w:tcPr>
          <w:p w14:paraId="C03B91AE">
            <w:pPr>
              <w:pStyle w:val="style0"/>
              <w:rPr/>
            </w:pPr>
            <w:r>
              <w:rPr>
                <w:rFonts w:ascii="Aptos" w:hAnsi="Aptos"/>
                <w:b w:val="false"/>
                <w:sz w:val="17"/>
              </w:rPr>
              <w:t>Creates accountability and continual improvement.</w:t>
            </w:r>
          </w:p>
        </w:tc>
        <w:tc>
          <w:tcPr>
            <w:tcW w:w="1987" w:type="dxa"/>
            <w:tcBorders/>
            <w:vAlign w:val="center"/>
          </w:tcPr>
          <w:p w14:paraId="28AFBDE9">
            <w:pPr>
              <w:pStyle w:val="style0"/>
              <w:rPr/>
            </w:pPr>
            <w:r>
              <w:rPr>
                <w:rFonts w:ascii="Aptos" w:hAnsi="Aptos"/>
                <w:b w:val="false"/>
                <w:sz w:val="17"/>
              </w:rPr>
              <w:t>0–3 months</w:t>
            </w:r>
          </w:p>
        </w:tc>
        <w:tc>
          <w:tcPr>
            <w:tcW w:w="1987" w:type="dxa"/>
            <w:tcBorders/>
            <w:vAlign w:val="center"/>
          </w:tcPr>
          <w:p w14:paraId="5A419B52">
            <w:pPr>
              <w:pStyle w:val="style0"/>
              <w:rPr/>
            </w:pPr>
            <w:r>
              <w:rPr>
                <w:rFonts w:ascii="Aptos" w:hAnsi="Aptos"/>
                <w:b w:val="false"/>
                <w:sz w:val="17"/>
              </w:rPr>
              <w:t>Management + Security</w:t>
            </w:r>
          </w:p>
        </w:tc>
      </w:tr>
    </w:tbl>
    <w:p w14:paraId="18C583E9">
      <w:pPr>
        <w:pStyle w:val="style1"/>
        <w:rPr/>
      </w:pPr>
      <w:r>
        <w:t>10. Implementation Roadmap</w:t>
      </w:r>
    </w:p>
    <w:tbl>
      <w:tblPr>
        <w:tblStyle w:val="style154"/>
        <w:tblW w:w="0" w:type="auto"/>
        <w:jc w:val="center"/>
        <w:tblLook w:val="04A0" w:firstRow="1" w:lastRow="0" w:firstColumn="1" w:lastColumn="0" w:noHBand="0" w:noVBand="1"/>
      </w:tblPr>
      <w:tblGrid>
        <w:gridCol w:w="3312"/>
        <w:gridCol w:w="3312"/>
        <w:gridCol w:w="3312"/>
      </w:tblGrid>
      <w:tr w14:paraId="5B1A5482">
        <w:trPr>
          <w:jc w:val="center"/>
        </w:trPr>
        <w:tc>
          <w:tcPr>
            <w:tcW w:w="3312" w:type="dxa"/>
            <w:tcBorders/>
            <w:shd w:val="nil" w:color="auto" w:fill="d9eaf7"/>
            <w:vAlign w:val="center"/>
          </w:tcPr>
          <w:p w14:paraId="EF064FEF">
            <w:pPr>
              <w:pStyle w:val="style0"/>
              <w:rPr/>
            </w:pPr>
            <w:r>
              <w:rPr>
                <w:rFonts w:ascii="Aptos" w:hAnsi="Aptos"/>
                <w:b/>
                <w:sz w:val="18"/>
              </w:rPr>
              <w:t>Period</w:t>
            </w:r>
          </w:p>
        </w:tc>
        <w:tc>
          <w:tcPr>
            <w:tcW w:w="3312" w:type="dxa"/>
            <w:tcBorders/>
            <w:shd w:val="nil" w:color="auto" w:fill="d9eaf7"/>
            <w:vAlign w:val="center"/>
          </w:tcPr>
          <w:p w14:paraId="E4D26993">
            <w:pPr>
              <w:pStyle w:val="style0"/>
              <w:rPr/>
            </w:pPr>
            <w:r>
              <w:rPr>
                <w:rFonts w:ascii="Aptos" w:hAnsi="Aptos"/>
                <w:b/>
                <w:sz w:val="18"/>
              </w:rPr>
              <w:t>Priority activities</w:t>
            </w:r>
          </w:p>
        </w:tc>
        <w:tc>
          <w:tcPr>
            <w:tcW w:w="3312" w:type="dxa"/>
            <w:tcBorders/>
            <w:shd w:val="nil" w:color="auto" w:fill="d9eaf7"/>
            <w:vAlign w:val="center"/>
          </w:tcPr>
          <w:p w14:paraId="7DF549AB">
            <w:pPr>
              <w:pStyle w:val="style0"/>
              <w:rPr/>
            </w:pPr>
            <w:r>
              <w:rPr>
                <w:rFonts w:ascii="Aptos" w:hAnsi="Aptos"/>
                <w:b/>
                <w:sz w:val="18"/>
              </w:rPr>
              <w:t>Expected result</w:t>
            </w:r>
          </w:p>
        </w:tc>
      </w:tr>
      <w:tr w14:paraId="98CF4E07">
        <w:tblPrEx/>
        <w:trPr>
          <w:jc w:val="center"/>
        </w:trPr>
        <w:tc>
          <w:tcPr>
            <w:tcW w:w="3312" w:type="dxa"/>
            <w:tcBorders/>
            <w:vAlign w:val="center"/>
          </w:tcPr>
          <w:p w14:paraId="90E65F68">
            <w:pPr>
              <w:pStyle w:val="style0"/>
              <w:rPr/>
            </w:pPr>
            <w:r>
              <w:rPr>
                <w:rFonts w:ascii="Aptos" w:hAnsi="Aptos"/>
                <w:b w:val="false"/>
                <w:sz w:val="17"/>
              </w:rPr>
              <w:t>0–30 days</w:t>
            </w:r>
          </w:p>
        </w:tc>
        <w:tc>
          <w:tcPr>
            <w:tcW w:w="3312" w:type="dxa"/>
            <w:tcBorders/>
            <w:vAlign w:val="center"/>
          </w:tcPr>
          <w:p w14:paraId="60F8E660">
            <w:pPr>
              <w:pStyle w:val="style0"/>
              <w:rPr/>
            </w:pPr>
            <w:r>
              <w:rPr>
                <w:rFonts w:ascii="Aptos" w:hAnsi="Aptos"/>
                <w:b w:val="false"/>
                <w:sz w:val="17"/>
              </w:rPr>
              <w:t>Appoint policy owner; identify critical systems; require MFA for privileged accounts and remote access; create incident-response contacts; review backup status.</w:t>
            </w:r>
          </w:p>
        </w:tc>
        <w:tc>
          <w:tcPr>
            <w:tcW w:w="3312" w:type="dxa"/>
            <w:tcBorders/>
            <w:vAlign w:val="center"/>
          </w:tcPr>
          <w:p w14:paraId="135642AA">
            <w:pPr>
              <w:pStyle w:val="style0"/>
              <w:rPr/>
            </w:pPr>
            <w:r>
              <w:rPr>
                <w:rFonts w:ascii="Aptos" w:hAnsi="Aptos"/>
                <w:b w:val="false"/>
                <w:sz w:val="17"/>
              </w:rPr>
              <w:t>Immediate risk reduction and ownership.</w:t>
            </w:r>
          </w:p>
        </w:tc>
      </w:tr>
      <w:tr w14:paraId="88B64C2B">
        <w:tblPrEx/>
        <w:trPr>
          <w:jc w:val="center"/>
        </w:trPr>
        <w:tc>
          <w:tcPr>
            <w:tcW w:w="3312" w:type="dxa"/>
            <w:tcBorders/>
            <w:vAlign w:val="center"/>
          </w:tcPr>
          <w:p w14:paraId="9CAACF6B">
            <w:pPr>
              <w:pStyle w:val="style0"/>
              <w:rPr/>
            </w:pPr>
            <w:r>
              <w:rPr>
                <w:rFonts w:ascii="Aptos" w:hAnsi="Aptos"/>
                <w:b w:val="false"/>
                <w:sz w:val="17"/>
              </w:rPr>
              <w:t>31–90 days</w:t>
            </w:r>
          </w:p>
        </w:tc>
        <w:tc>
          <w:tcPr>
            <w:tcW w:w="3312" w:type="dxa"/>
            <w:tcBorders/>
            <w:vAlign w:val="center"/>
          </w:tcPr>
          <w:p w14:paraId="2FD53123">
            <w:pPr>
              <w:pStyle w:val="style0"/>
              <w:rPr/>
            </w:pPr>
            <w:r>
              <w:rPr>
                <w:rFonts w:ascii="Aptos" w:hAnsi="Aptos"/>
                <w:b w:val="false"/>
                <w:sz w:val="17"/>
              </w:rPr>
              <w:t>Complete access review; establish patch SLAs; formalize incident-response plan; start security metrics; document policy exceptions.</w:t>
            </w:r>
          </w:p>
        </w:tc>
        <w:tc>
          <w:tcPr>
            <w:tcW w:w="3312" w:type="dxa"/>
            <w:tcBorders/>
            <w:vAlign w:val="center"/>
          </w:tcPr>
          <w:p w14:paraId="FB069942">
            <w:pPr>
              <w:pStyle w:val="style0"/>
              <w:rPr/>
            </w:pPr>
            <w:r>
              <w:rPr>
                <w:rFonts w:ascii="Aptos" w:hAnsi="Aptos"/>
                <w:b w:val="false"/>
                <w:sz w:val="17"/>
              </w:rPr>
              <w:t>Build repeatable core controls.</w:t>
            </w:r>
          </w:p>
        </w:tc>
      </w:tr>
      <w:tr w14:paraId="777DBD11">
        <w:tblPrEx/>
        <w:trPr>
          <w:jc w:val="center"/>
        </w:trPr>
        <w:tc>
          <w:tcPr>
            <w:tcW w:w="3312" w:type="dxa"/>
            <w:tcBorders/>
            <w:vAlign w:val="center"/>
          </w:tcPr>
          <w:p w14:paraId="989D8C1B">
            <w:pPr>
              <w:pStyle w:val="style0"/>
              <w:rPr/>
            </w:pPr>
            <w:r>
              <w:rPr>
                <w:rFonts w:ascii="Aptos" w:hAnsi="Aptos"/>
                <w:b w:val="false"/>
                <w:sz w:val="17"/>
              </w:rPr>
              <w:t>3–6 months</w:t>
            </w:r>
          </w:p>
        </w:tc>
        <w:tc>
          <w:tcPr>
            <w:tcW w:w="3312" w:type="dxa"/>
            <w:tcBorders/>
            <w:vAlign w:val="center"/>
          </w:tcPr>
          <w:p w14:paraId="45A4D799">
            <w:pPr>
              <w:pStyle w:val="style0"/>
              <w:rPr/>
            </w:pPr>
            <w:r>
              <w:rPr>
                <w:rFonts w:ascii="Aptos" w:hAnsi="Aptos"/>
                <w:b w:val="false"/>
                <w:sz w:val="17"/>
              </w:rPr>
              <w:t>Centralize priority logs; establish asset/data inventories; test backup restoration; improve awareness program; begin vendor risk tiering.</w:t>
            </w:r>
          </w:p>
        </w:tc>
        <w:tc>
          <w:tcPr>
            <w:tcW w:w="3312" w:type="dxa"/>
            <w:tcBorders/>
            <w:vAlign w:val="center"/>
          </w:tcPr>
          <w:p w14:paraId="EF56F5B7">
            <w:pPr>
              <w:pStyle w:val="style0"/>
              <w:rPr/>
            </w:pPr>
            <w:r>
              <w:rPr>
                <w:rFonts w:ascii="Aptos" w:hAnsi="Aptos"/>
                <w:b w:val="false"/>
                <w:sz w:val="17"/>
              </w:rPr>
              <w:t>Improve visibility and resilience.</w:t>
            </w:r>
          </w:p>
        </w:tc>
      </w:tr>
      <w:tr w14:paraId="9E6D8C41">
        <w:tblPrEx/>
        <w:trPr>
          <w:jc w:val="center"/>
        </w:trPr>
        <w:tc>
          <w:tcPr>
            <w:tcW w:w="3312" w:type="dxa"/>
            <w:tcBorders/>
            <w:vAlign w:val="center"/>
          </w:tcPr>
          <w:p w14:paraId="B3E1F5AB">
            <w:pPr>
              <w:pStyle w:val="style0"/>
              <w:rPr/>
            </w:pPr>
            <w:r>
              <w:rPr>
                <w:rFonts w:ascii="Aptos" w:hAnsi="Aptos"/>
                <w:b w:val="false"/>
                <w:sz w:val="17"/>
              </w:rPr>
              <w:t>6–12 months</w:t>
            </w:r>
          </w:p>
        </w:tc>
        <w:tc>
          <w:tcPr>
            <w:tcW w:w="3312" w:type="dxa"/>
            <w:tcBorders/>
            <w:vAlign w:val="center"/>
          </w:tcPr>
          <w:p w14:paraId="F853E477">
            <w:pPr>
              <w:pStyle w:val="style0"/>
              <w:rPr/>
            </w:pPr>
            <w:r>
              <w:rPr>
                <w:rFonts w:ascii="Aptos" w:hAnsi="Aptos"/>
                <w:b w:val="false"/>
                <w:sz w:val="17"/>
              </w:rPr>
              <w:t>Expand monitoring; complete supplier reviews; conduct incident-response exercise; mature risk assessments; review policy effectiveness.</w:t>
            </w:r>
          </w:p>
        </w:tc>
        <w:tc>
          <w:tcPr>
            <w:tcW w:w="3312" w:type="dxa"/>
            <w:tcBorders/>
            <w:vAlign w:val="center"/>
          </w:tcPr>
          <w:p w14:paraId="6F6B7A5C">
            <w:pPr>
              <w:pStyle w:val="style0"/>
              <w:rPr/>
            </w:pPr>
            <w:r>
              <w:rPr>
                <w:rFonts w:ascii="Aptos" w:hAnsi="Aptos"/>
                <w:b w:val="false"/>
                <w:sz w:val="17"/>
              </w:rPr>
              <w:t>Move toward continuous improvement.</w:t>
            </w:r>
          </w:p>
        </w:tc>
      </w:tr>
    </w:tbl>
    <w:p w14:paraId="7E872A33">
      <w:pPr>
        <w:pStyle w:val="style1"/>
        <w:rPr/>
      </w:pPr>
      <w:r>
        <w:t>11. Suggested Security Metrics</w:t>
      </w:r>
    </w:p>
    <w:p w14:paraId="79666151">
      <w:pPr>
        <w:pStyle w:val="style0"/>
        <w:jc w:val="center"/>
        <w:rPr/>
      </w:pPr>
      <w:r>
        <w:rPr/>
        <w:drawing>
          <wp:inline distL="0" distT="0" distB="0" distR="0">
            <wp:extent cx="5577840" cy="3607558"/>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577840" cy="3607558"/>
                    </a:xfrm>
                    <a:prstGeom prst="rect"/>
                  </pic:spPr>
                </pic:pic>
              </a:graphicData>
            </a:graphic>
          </wp:inline>
        </w:drawing>
      </w:r>
    </w:p>
    <w:p w14:paraId="BCC8ABBC">
      <w:pPr>
        <w:pStyle w:val="style0"/>
        <w:jc w:val="center"/>
        <w:rPr/>
      </w:pPr>
      <w:r>
        <w:rPr>
          <w:i/>
          <w:sz w:val="18"/>
        </w:rPr>
        <w:t>Figure 3. Incident response lifecycle used to organize preparation, detection, containment, recovery, and learning.</w:t>
      </w:r>
    </w:p>
    <w:tbl>
      <w:tblPr>
        <w:tblStyle w:val="style154"/>
        <w:tblW w:w="0" w:type="auto"/>
        <w:jc w:val="center"/>
        <w:tblLook w:val="04A0" w:firstRow="1" w:lastRow="0" w:firstColumn="1" w:lastColumn="0" w:noHBand="0" w:noVBand="1"/>
      </w:tblPr>
      <w:tblGrid>
        <w:gridCol w:w="3312"/>
        <w:gridCol w:w="3312"/>
        <w:gridCol w:w="3312"/>
      </w:tblGrid>
      <w:tr w14:paraId="F314F15E">
        <w:trPr>
          <w:jc w:val="center"/>
        </w:trPr>
        <w:tc>
          <w:tcPr>
            <w:tcW w:w="3312" w:type="dxa"/>
            <w:tcBorders/>
            <w:shd w:val="nil" w:color="auto" w:fill="d9eaf7"/>
            <w:vAlign w:val="center"/>
          </w:tcPr>
          <w:p w14:paraId="7B467642">
            <w:pPr>
              <w:pStyle w:val="style0"/>
              <w:rPr/>
            </w:pPr>
            <w:r>
              <w:rPr>
                <w:rFonts w:ascii="Aptos" w:hAnsi="Aptos"/>
                <w:b/>
                <w:sz w:val="18"/>
              </w:rPr>
              <w:t>Metric</w:t>
            </w:r>
          </w:p>
        </w:tc>
        <w:tc>
          <w:tcPr>
            <w:tcW w:w="3312" w:type="dxa"/>
            <w:tcBorders/>
            <w:shd w:val="nil" w:color="auto" w:fill="d9eaf7"/>
            <w:vAlign w:val="center"/>
          </w:tcPr>
          <w:p w14:paraId="7B79E415">
            <w:pPr>
              <w:pStyle w:val="style0"/>
              <w:rPr/>
            </w:pPr>
            <w:r>
              <w:rPr>
                <w:rFonts w:ascii="Aptos" w:hAnsi="Aptos"/>
                <w:b/>
                <w:sz w:val="18"/>
              </w:rPr>
              <w:t>What it measures</w:t>
            </w:r>
          </w:p>
        </w:tc>
        <w:tc>
          <w:tcPr>
            <w:tcW w:w="3312" w:type="dxa"/>
            <w:tcBorders/>
            <w:shd w:val="nil" w:color="auto" w:fill="d9eaf7"/>
            <w:vAlign w:val="center"/>
          </w:tcPr>
          <w:p w14:paraId="F6ED31B8">
            <w:pPr>
              <w:pStyle w:val="style0"/>
              <w:rPr/>
            </w:pPr>
            <w:r>
              <w:rPr>
                <w:rFonts w:ascii="Aptos" w:hAnsi="Aptos"/>
                <w:b/>
                <w:sz w:val="18"/>
              </w:rPr>
              <w:t>Example target</w:t>
            </w:r>
          </w:p>
        </w:tc>
      </w:tr>
      <w:tr w14:paraId="545B1C7A">
        <w:tblPrEx/>
        <w:trPr>
          <w:jc w:val="center"/>
        </w:trPr>
        <w:tc>
          <w:tcPr>
            <w:tcW w:w="3312" w:type="dxa"/>
            <w:tcBorders/>
            <w:vAlign w:val="center"/>
          </w:tcPr>
          <w:p w14:paraId="31427EBC">
            <w:pPr>
              <w:pStyle w:val="style0"/>
              <w:rPr/>
            </w:pPr>
            <w:r>
              <w:rPr>
                <w:rFonts w:ascii="Aptos" w:hAnsi="Aptos"/>
                <w:b w:val="false"/>
                <w:sz w:val="17"/>
              </w:rPr>
              <w:t>MFA coverage</w:t>
            </w:r>
          </w:p>
        </w:tc>
        <w:tc>
          <w:tcPr>
            <w:tcW w:w="3312" w:type="dxa"/>
            <w:tcBorders/>
            <w:vAlign w:val="center"/>
          </w:tcPr>
          <w:p w14:paraId="14AB0BDF">
            <w:pPr>
              <w:pStyle w:val="style0"/>
              <w:rPr/>
            </w:pPr>
            <w:r>
              <w:rPr>
                <w:rFonts w:ascii="Aptos" w:hAnsi="Aptos"/>
                <w:b w:val="false"/>
                <w:sz w:val="17"/>
              </w:rPr>
              <w:t>Percentage of in-scope accounts protected by MFA</w:t>
            </w:r>
          </w:p>
        </w:tc>
        <w:tc>
          <w:tcPr>
            <w:tcW w:w="3312" w:type="dxa"/>
            <w:tcBorders/>
            <w:vAlign w:val="center"/>
          </w:tcPr>
          <w:p w14:paraId="92D0582C">
            <w:pPr>
              <w:pStyle w:val="style0"/>
              <w:rPr/>
            </w:pPr>
            <w:r>
              <w:rPr>
                <w:rFonts w:ascii="Aptos" w:hAnsi="Aptos"/>
                <w:b w:val="false"/>
                <w:sz w:val="17"/>
              </w:rPr>
              <w:t>Target: 100% for privileged and remote-access accounts</w:t>
            </w:r>
          </w:p>
        </w:tc>
      </w:tr>
      <w:tr w14:paraId="2972AB2B">
        <w:tblPrEx/>
        <w:trPr>
          <w:jc w:val="center"/>
        </w:trPr>
        <w:tc>
          <w:tcPr>
            <w:tcW w:w="3312" w:type="dxa"/>
            <w:tcBorders/>
            <w:vAlign w:val="center"/>
          </w:tcPr>
          <w:p w14:paraId="5244D962">
            <w:pPr>
              <w:pStyle w:val="style0"/>
              <w:rPr/>
            </w:pPr>
            <w:r>
              <w:rPr>
                <w:rFonts w:ascii="Aptos" w:hAnsi="Aptos"/>
                <w:b w:val="false"/>
                <w:sz w:val="17"/>
              </w:rPr>
              <w:t>Access review completion</w:t>
            </w:r>
          </w:p>
        </w:tc>
        <w:tc>
          <w:tcPr>
            <w:tcW w:w="3312" w:type="dxa"/>
            <w:tcBorders/>
            <w:vAlign w:val="center"/>
          </w:tcPr>
          <w:p w14:paraId="61358DD9">
            <w:pPr>
              <w:pStyle w:val="style0"/>
              <w:rPr/>
            </w:pPr>
            <w:r>
              <w:rPr>
                <w:rFonts w:ascii="Aptos" w:hAnsi="Aptos"/>
                <w:b w:val="false"/>
                <w:sz w:val="17"/>
              </w:rPr>
              <w:t>Percentage of scheduled access reviews completed on time</w:t>
            </w:r>
          </w:p>
        </w:tc>
        <w:tc>
          <w:tcPr>
            <w:tcW w:w="3312" w:type="dxa"/>
            <w:tcBorders/>
            <w:vAlign w:val="center"/>
          </w:tcPr>
          <w:p w14:paraId="09FF09A8">
            <w:pPr>
              <w:pStyle w:val="style0"/>
              <w:rPr/>
            </w:pPr>
            <w:r>
              <w:rPr>
                <w:rFonts w:ascii="Aptos" w:hAnsi="Aptos"/>
                <w:b w:val="false"/>
                <w:sz w:val="17"/>
              </w:rPr>
              <w:t>Target: 100%</w:t>
            </w:r>
          </w:p>
        </w:tc>
      </w:tr>
      <w:tr w14:paraId="91013A9A">
        <w:tblPrEx/>
        <w:trPr>
          <w:jc w:val="center"/>
        </w:trPr>
        <w:tc>
          <w:tcPr>
            <w:tcW w:w="3312" w:type="dxa"/>
            <w:tcBorders/>
            <w:vAlign w:val="center"/>
          </w:tcPr>
          <w:p w14:paraId="5EAF3383">
            <w:pPr>
              <w:pStyle w:val="style0"/>
              <w:rPr/>
            </w:pPr>
            <w:r>
              <w:rPr>
                <w:rFonts w:ascii="Aptos" w:hAnsi="Aptos"/>
                <w:b w:val="false"/>
                <w:sz w:val="17"/>
              </w:rPr>
              <w:t>Critical patch compliance</w:t>
            </w:r>
          </w:p>
        </w:tc>
        <w:tc>
          <w:tcPr>
            <w:tcW w:w="3312" w:type="dxa"/>
            <w:tcBorders/>
            <w:vAlign w:val="center"/>
          </w:tcPr>
          <w:p w14:paraId="4F229587">
            <w:pPr>
              <w:pStyle w:val="style0"/>
              <w:rPr/>
            </w:pPr>
            <w:r>
              <w:rPr>
                <w:rFonts w:ascii="Aptos" w:hAnsi="Aptos"/>
                <w:b w:val="false"/>
                <w:sz w:val="17"/>
              </w:rPr>
              <w:t>Percentage of critical vulnerabilities remediated within the defined SLA</w:t>
            </w:r>
          </w:p>
        </w:tc>
        <w:tc>
          <w:tcPr>
            <w:tcW w:w="3312" w:type="dxa"/>
            <w:tcBorders/>
            <w:vAlign w:val="center"/>
          </w:tcPr>
          <w:p w14:paraId="8AE7A25A">
            <w:pPr>
              <w:pStyle w:val="style0"/>
              <w:rPr/>
            </w:pPr>
            <w:r>
              <w:rPr>
                <w:rFonts w:ascii="Aptos" w:hAnsi="Aptos"/>
                <w:b w:val="false"/>
                <w:sz w:val="17"/>
              </w:rPr>
              <w:t>Target: ≥95% (organization should set final target based on risk)</w:t>
            </w:r>
          </w:p>
        </w:tc>
      </w:tr>
      <w:tr w14:paraId="E8930D5F">
        <w:tblPrEx/>
        <w:trPr>
          <w:jc w:val="center"/>
        </w:trPr>
        <w:tc>
          <w:tcPr>
            <w:tcW w:w="3312" w:type="dxa"/>
            <w:tcBorders/>
            <w:vAlign w:val="center"/>
          </w:tcPr>
          <w:p w14:paraId="63E26744">
            <w:pPr>
              <w:pStyle w:val="style0"/>
              <w:rPr/>
            </w:pPr>
            <w:r>
              <w:rPr>
                <w:rFonts w:ascii="Aptos" w:hAnsi="Aptos"/>
                <w:b w:val="false"/>
                <w:sz w:val="17"/>
              </w:rPr>
              <w:t>Backup restore success</w:t>
            </w:r>
          </w:p>
        </w:tc>
        <w:tc>
          <w:tcPr>
            <w:tcW w:w="3312" w:type="dxa"/>
            <w:tcBorders/>
            <w:vAlign w:val="center"/>
          </w:tcPr>
          <w:p w14:paraId="03F05572">
            <w:pPr>
              <w:pStyle w:val="style0"/>
              <w:rPr/>
            </w:pPr>
            <w:r>
              <w:rPr>
                <w:rFonts w:ascii="Aptos" w:hAnsi="Aptos"/>
                <w:b w:val="false"/>
                <w:sz w:val="17"/>
              </w:rPr>
              <w:t>Percentage of scheduled restore tests that successfully recover required data</w:t>
            </w:r>
          </w:p>
        </w:tc>
        <w:tc>
          <w:tcPr>
            <w:tcW w:w="3312" w:type="dxa"/>
            <w:tcBorders/>
            <w:vAlign w:val="center"/>
          </w:tcPr>
          <w:p w14:paraId="7C921C6D">
            <w:pPr>
              <w:pStyle w:val="style0"/>
              <w:rPr/>
            </w:pPr>
            <w:r>
              <w:rPr>
                <w:rFonts w:ascii="Aptos" w:hAnsi="Aptos"/>
                <w:b w:val="false"/>
                <w:sz w:val="17"/>
              </w:rPr>
              <w:t>Target: 100% for critical backup sets</w:t>
            </w:r>
          </w:p>
        </w:tc>
      </w:tr>
      <w:tr w14:paraId="340628DB">
        <w:tblPrEx/>
        <w:trPr>
          <w:jc w:val="center"/>
        </w:trPr>
        <w:tc>
          <w:tcPr>
            <w:tcW w:w="3312" w:type="dxa"/>
            <w:tcBorders/>
            <w:vAlign w:val="center"/>
          </w:tcPr>
          <w:p w14:paraId="8FCC09C9">
            <w:pPr>
              <w:pStyle w:val="style0"/>
              <w:rPr/>
            </w:pPr>
            <w:r>
              <w:rPr>
                <w:rFonts w:ascii="Aptos" w:hAnsi="Aptos"/>
                <w:b w:val="false"/>
                <w:sz w:val="17"/>
              </w:rPr>
              <w:t>Security training completion</w:t>
            </w:r>
          </w:p>
        </w:tc>
        <w:tc>
          <w:tcPr>
            <w:tcW w:w="3312" w:type="dxa"/>
            <w:tcBorders/>
            <w:vAlign w:val="center"/>
          </w:tcPr>
          <w:p w14:paraId="E111AEB6">
            <w:pPr>
              <w:pStyle w:val="style0"/>
              <w:rPr/>
            </w:pPr>
            <w:r>
              <w:rPr>
                <w:rFonts w:ascii="Aptos" w:hAnsi="Aptos"/>
                <w:b w:val="false"/>
                <w:sz w:val="17"/>
              </w:rPr>
              <w:t>Percentage of users completing required training by deadline</w:t>
            </w:r>
          </w:p>
        </w:tc>
        <w:tc>
          <w:tcPr>
            <w:tcW w:w="3312" w:type="dxa"/>
            <w:tcBorders/>
            <w:vAlign w:val="center"/>
          </w:tcPr>
          <w:p w14:paraId="3539DD83">
            <w:pPr>
              <w:pStyle w:val="style0"/>
              <w:rPr/>
            </w:pPr>
            <w:r>
              <w:rPr>
                <w:rFonts w:ascii="Aptos" w:hAnsi="Aptos"/>
                <w:b w:val="false"/>
                <w:sz w:val="17"/>
              </w:rPr>
              <w:t>Target: ≥95–100%, depending on policy</w:t>
            </w:r>
          </w:p>
        </w:tc>
      </w:tr>
      <w:tr w14:paraId="19A6F499">
        <w:tblPrEx/>
        <w:trPr>
          <w:jc w:val="center"/>
        </w:trPr>
        <w:tc>
          <w:tcPr>
            <w:tcW w:w="3312" w:type="dxa"/>
            <w:tcBorders/>
            <w:vAlign w:val="center"/>
          </w:tcPr>
          <w:p w14:paraId="0CDD4F34">
            <w:pPr>
              <w:pStyle w:val="style0"/>
              <w:rPr/>
            </w:pPr>
            <w:r>
              <w:rPr>
                <w:rFonts w:ascii="Aptos" w:hAnsi="Aptos"/>
                <w:b w:val="false"/>
                <w:sz w:val="17"/>
              </w:rPr>
              <w:t>Incident response exercise</w:t>
            </w:r>
          </w:p>
        </w:tc>
        <w:tc>
          <w:tcPr>
            <w:tcW w:w="3312" w:type="dxa"/>
            <w:tcBorders/>
            <w:vAlign w:val="center"/>
          </w:tcPr>
          <w:p w14:paraId="25D588B7">
            <w:pPr>
              <w:pStyle w:val="style0"/>
              <w:rPr/>
            </w:pPr>
            <w:r>
              <w:rPr>
                <w:rFonts w:ascii="Aptos" w:hAnsi="Aptos"/>
                <w:b w:val="false"/>
                <w:sz w:val="17"/>
              </w:rPr>
              <w:t>Number of exercises completed and lessons closed</w:t>
            </w:r>
          </w:p>
        </w:tc>
        <w:tc>
          <w:tcPr>
            <w:tcW w:w="3312" w:type="dxa"/>
            <w:tcBorders/>
            <w:vAlign w:val="center"/>
          </w:tcPr>
          <w:p w14:paraId="C5A6A7DC">
            <w:pPr>
              <w:pStyle w:val="style0"/>
              <w:rPr/>
            </w:pPr>
            <w:r>
              <w:rPr>
                <w:rFonts w:ascii="Aptos" w:hAnsi="Aptos"/>
                <w:b w:val="false"/>
                <w:sz w:val="17"/>
              </w:rPr>
              <w:t>At least annual exercise for critical processes</w:t>
            </w:r>
          </w:p>
        </w:tc>
      </w:tr>
      <w:tr w14:paraId="627660B5">
        <w:tblPrEx/>
        <w:trPr>
          <w:jc w:val="center"/>
        </w:trPr>
        <w:tc>
          <w:tcPr>
            <w:tcW w:w="3312" w:type="dxa"/>
            <w:tcBorders/>
            <w:vAlign w:val="center"/>
          </w:tcPr>
          <w:p w14:paraId="2AC90960">
            <w:pPr>
              <w:pStyle w:val="style0"/>
              <w:rPr/>
            </w:pPr>
            <w:r>
              <w:rPr>
                <w:rFonts w:ascii="Aptos" w:hAnsi="Aptos"/>
                <w:b w:val="false"/>
                <w:sz w:val="17"/>
              </w:rPr>
              <w:t>Logging coverage</w:t>
            </w:r>
          </w:p>
        </w:tc>
        <w:tc>
          <w:tcPr>
            <w:tcW w:w="3312" w:type="dxa"/>
            <w:tcBorders/>
            <w:vAlign w:val="center"/>
          </w:tcPr>
          <w:p w14:paraId="498296B1">
            <w:pPr>
              <w:pStyle w:val="style0"/>
              <w:rPr/>
            </w:pPr>
            <w:r>
              <w:rPr>
                <w:rFonts w:ascii="Aptos" w:hAnsi="Aptos"/>
                <w:b w:val="false"/>
                <w:sz w:val="17"/>
              </w:rPr>
              <w:t>Percentage of critical systems sending required logs</w:t>
            </w:r>
          </w:p>
        </w:tc>
        <w:tc>
          <w:tcPr>
            <w:tcW w:w="3312" w:type="dxa"/>
            <w:tcBorders/>
            <w:vAlign w:val="center"/>
          </w:tcPr>
          <w:p w14:paraId="29FC5277">
            <w:pPr>
              <w:pStyle w:val="style0"/>
              <w:rPr/>
            </w:pPr>
            <w:r>
              <w:rPr>
                <w:rFonts w:ascii="Aptos" w:hAnsi="Aptos"/>
                <w:b w:val="false"/>
                <w:sz w:val="17"/>
              </w:rPr>
              <w:t>Target: 100% of defined critical sources</w:t>
            </w:r>
          </w:p>
        </w:tc>
      </w:tr>
      <w:tr w14:paraId="EA5408B4">
        <w:tblPrEx/>
        <w:trPr>
          <w:jc w:val="center"/>
        </w:trPr>
        <w:tc>
          <w:tcPr>
            <w:tcW w:w="3312" w:type="dxa"/>
            <w:tcBorders/>
            <w:vAlign w:val="center"/>
          </w:tcPr>
          <w:p w14:paraId="85724FD8">
            <w:pPr>
              <w:pStyle w:val="style0"/>
              <w:rPr/>
            </w:pPr>
            <w:r>
              <w:rPr>
                <w:rFonts w:ascii="Aptos" w:hAnsi="Aptos"/>
                <w:b w:val="false"/>
                <w:sz w:val="17"/>
              </w:rPr>
              <w:t>Vendor review coverage</w:t>
            </w:r>
          </w:p>
        </w:tc>
        <w:tc>
          <w:tcPr>
            <w:tcW w:w="3312" w:type="dxa"/>
            <w:tcBorders/>
            <w:vAlign w:val="center"/>
          </w:tcPr>
          <w:p w14:paraId="048A30FA">
            <w:pPr>
              <w:pStyle w:val="style0"/>
              <w:rPr/>
            </w:pPr>
            <w:r>
              <w:rPr>
                <w:rFonts w:ascii="Aptos" w:hAnsi="Aptos"/>
                <w:b w:val="false"/>
                <w:sz w:val="17"/>
              </w:rPr>
              <w:t>Percentage of high-risk suppliers assessed before/within review cycle</w:t>
            </w:r>
          </w:p>
        </w:tc>
        <w:tc>
          <w:tcPr>
            <w:tcW w:w="3312" w:type="dxa"/>
            <w:tcBorders/>
            <w:vAlign w:val="center"/>
          </w:tcPr>
          <w:p w14:paraId="65E4031D">
            <w:pPr>
              <w:pStyle w:val="style0"/>
              <w:rPr/>
            </w:pPr>
            <w:r>
              <w:rPr>
                <w:rFonts w:ascii="Aptos" w:hAnsi="Aptos"/>
                <w:b w:val="false"/>
                <w:sz w:val="17"/>
              </w:rPr>
              <w:t>Target: 100%</w:t>
            </w:r>
          </w:p>
        </w:tc>
      </w:tr>
    </w:tbl>
    <w:p w14:paraId="51FDF6FB">
      <w:pPr>
        <w:pStyle w:val="style1"/>
        <w:rPr/>
      </w:pPr>
      <w:r>
        <w:t>12. Proposed Improved Policy Structure</w:t>
      </w:r>
    </w:p>
    <w:p w14:paraId="BFBAEE10">
      <w:pPr>
        <w:pStyle w:val="style49"/>
        <w:spacing w:after="40"/>
        <w:rPr/>
      </w:pPr>
      <w:r>
        <w:t>Purpose and scope</w:t>
      </w:r>
    </w:p>
    <w:p w14:paraId="89C33A76">
      <w:pPr>
        <w:pStyle w:val="style49"/>
        <w:spacing w:after="40"/>
        <w:rPr/>
      </w:pPr>
      <w:r>
        <w:t>Roles and responsibilities</w:t>
      </w:r>
    </w:p>
    <w:p w14:paraId="D5E37006">
      <w:pPr>
        <w:pStyle w:val="style49"/>
        <w:spacing w:after="40"/>
        <w:rPr/>
      </w:pPr>
      <w:r>
        <w:t>Risk management and security governance</w:t>
      </w:r>
    </w:p>
    <w:p w14:paraId="B8573B5A">
      <w:pPr>
        <w:pStyle w:val="style49"/>
        <w:spacing w:after="40"/>
        <w:rPr/>
      </w:pPr>
      <w:r>
        <w:t>Asset management and data classification</w:t>
      </w:r>
    </w:p>
    <w:p w14:paraId="9AFF3C65">
      <w:pPr>
        <w:pStyle w:val="style49"/>
        <w:spacing w:after="40"/>
        <w:rPr/>
      </w:pPr>
      <w:r>
        <w:t>Identity and access management</w:t>
      </w:r>
    </w:p>
    <w:p w14:paraId="AA20564D">
      <w:pPr>
        <w:pStyle w:val="style49"/>
        <w:spacing w:after="40"/>
        <w:rPr/>
      </w:pPr>
      <w:r>
        <w:t>Authentication and password management</w:t>
      </w:r>
    </w:p>
    <w:p w14:paraId="29126C88">
      <w:pPr>
        <w:pStyle w:val="style49"/>
        <w:spacing w:after="40"/>
        <w:rPr/>
      </w:pPr>
      <w:r>
        <w:t>Endpoint and secure configuration requirements</w:t>
      </w:r>
    </w:p>
    <w:p w14:paraId="E39105B3">
      <w:pPr>
        <w:pStyle w:val="style49"/>
        <w:spacing w:after="40"/>
        <w:rPr/>
      </w:pPr>
      <w:r>
        <w:t>Vulnerability and patch management</w:t>
      </w:r>
    </w:p>
    <w:p w14:paraId="70465530">
      <w:pPr>
        <w:pStyle w:val="style49"/>
        <w:spacing w:after="40"/>
        <w:rPr/>
      </w:pPr>
      <w:r>
        <w:t>Network, cloud, and communications security</w:t>
      </w:r>
    </w:p>
    <w:p w14:paraId="4611C21A">
      <w:pPr>
        <w:pStyle w:val="style49"/>
        <w:spacing w:after="40"/>
        <w:rPr/>
      </w:pPr>
      <w:r>
        <w:t>Logging, monitoring, and detection</w:t>
      </w:r>
    </w:p>
    <w:p w14:paraId="68B80BC8">
      <w:pPr>
        <w:pStyle w:val="style49"/>
        <w:spacing w:after="40"/>
        <w:rPr/>
      </w:pPr>
      <w:r>
        <w:t>Data protection, encryption, retention, and secure disposal</w:t>
      </w:r>
    </w:p>
    <w:p w14:paraId="5FBAA614">
      <w:pPr>
        <w:pStyle w:val="style49"/>
        <w:spacing w:after="40"/>
        <w:rPr/>
      </w:pPr>
      <w:r>
        <w:t>Security awareness and role-based training</w:t>
      </w:r>
    </w:p>
    <w:p w14:paraId="FAAB74B7">
      <w:pPr>
        <w:pStyle w:val="style49"/>
        <w:spacing w:after="40"/>
        <w:rPr/>
      </w:pPr>
      <w:r>
        <w:t>Acceptable use and remote work</w:t>
      </w:r>
    </w:p>
    <w:p w14:paraId="794549A7">
      <w:pPr>
        <w:pStyle w:val="style49"/>
        <w:spacing w:after="40"/>
        <w:rPr/>
      </w:pPr>
      <w:r>
        <w:t>Incident response and breach notification</w:t>
      </w:r>
    </w:p>
    <w:p w14:paraId="83B03C69">
      <w:pPr>
        <w:pStyle w:val="style49"/>
        <w:spacing w:after="40"/>
        <w:rPr/>
      </w:pPr>
      <w:r>
        <w:t>Backup, business continuity, and disaster recovery</w:t>
      </w:r>
    </w:p>
    <w:p w14:paraId="EED18490">
      <w:pPr>
        <w:pStyle w:val="style49"/>
        <w:spacing w:after="40"/>
        <w:rPr/>
      </w:pPr>
      <w:r>
        <w:t>Third-party and supply-chain security</w:t>
      </w:r>
    </w:p>
    <w:p w14:paraId="E0900D80">
      <w:pPr>
        <w:pStyle w:val="style49"/>
        <w:spacing w:after="40"/>
        <w:rPr/>
      </w:pPr>
      <w:r>
        <w:t>Physical security</w:t>
      </w:r>
    </w:p>
    <w:p w14:paraId="F53766FA">
      <w:pPr>
        <w:pStyle w:val="style49"/>
        <w:spacing w:after="40"/>
        <w:rPr/>
      </w:pPr>
      <w:r>
        <w:t>Policy exceptions, enforcement, and risk acceptance</w:t>
      </w:r>
    </w:p>
    <w:p w14:paraId="4077DB04">
      <w:pPr>
        <w:pStyle w:val="style49"/>
        <w:spacing w:after="40"/>
        <w:rPr/>
      </w:pPr>
      <w:r>
        <w:t>Review, audit, metrics, and continual improvement</w:t>
      </w:r>
    </w:p>
    <w:p w14:paraId="1175BDAF">
      <w:pPr>
        <w:pStyle w:val="style1"/>
        <w:rPr/>
      </w:pPr>
      <w:r>
        <w:t>13. Before-and-After Comparison</w:t>
      </w:r>
    </w:p>
    <w:tbl>
      <w:tblPr>
        <w:tblStyle w:val="style154"/>
        <w:tblW w:w="0" w:type="auto"/>
        <w:jc w:val="center"/>
        <w:tblLook w:val="04A0" w:firstRow="1" w:lastRow="0" w:firstColumn="1" w:lastColumn="0" w:noHBand="0" w:noVBand="1"/>
      </w:tblPr>
      <w:tblGrid>
        <w:gridCol w:w="3312"/>
        <w:gridCol w:w="3312"/>
        <w:gridCol w:w="3312"/>
      </w:tblGrid>
      <w:tr w14:paraId="F263DF53">
        <w:trPr>
          <w:jc w:val="center"/>
        </w:trPr>
        <w:tc>
          <w:tcPr>
            <w:tcW w:w="3312" w:type="dxa"/>
            <w:tcBorders/>
            <w:shd w:val="nil" w:color="auto" w:fill="d9eaf7"/>
            <w:vAlign w:val="center"/>
          </w:tcPr>
          <w:p w14:paraId="05E33022">
            <w:pPr>
              <w:pStyle w:val="style0"/>
              <w:rPr/>
            </w:pPr>
            <w:r>
              <w:rPr>
                <w:rFonts w:ascii="Aptos" w:hAnsi="Aptos"/>
                <w:b/>
                <w:sz w:val="18"/>
              </w:rPr>
              <w:t>Area</w:t>
            </w:r>
          </w:p>
        </w:tc>
        <w:tc>
          <w:tcPr>
            <w:tcW w:w="3312" w:type="dxa"/>
            <w:tcBorders/>
            <w:shd w:val="nil" w:color="auto" w:fill="d9eaf7"/>
            <w:vAlign w:val="center"/>
          </w:tcPr>
          <w:p w14:paraId="09F19C8E">
            <w:pPr>
              <w:pStyle w:val="style0"/>
              <w:rPr/>
            </w:pPr>
            <w:r>
              <w:rPr>
                <w:rFonts w:ascii="Aptos" w:hAnsi="Aptos"/>
                <w:b/>
                <w:sz w:val="18"/>
              </w:rPr>
              <w:t>Baseline policy</w:t>
            </w:r>
          </w:p>
        </w:tc>
        <w:tc>
          <w:tcPr>
            <w:tcW w:w="3312" w:type="dxa"/>
            <w:tcBorders/>
            <w:shd w:val="nil" w:color="auto" w:fill="d9eaf7"/>
            <w:vAlign w:val="center"/>
          </w:tcPr>
          <w:p w14:paraId="5AD70066">
            <w:pPr>
              <w:pStyle w:val="style0"/>
              <w:rPr/>
            </w:pPr>
            <w:r>
              <w:rPr>
                <w:rFonts w:ascii="Aptos" w:hAnsi="Aptos"/>
                <w:b/>
                <w:sz w:val="18"/>
              </w:rPr>
              <w:t>Improved policy</w:t>
            </w:r>
          </w:p>
        </w:tc>
      </w:tr>
      <w:tr w14:paraId="DF0BAEF8">
        <w:tblPrEx/>
        <w:trPr>
          <w:jc w:val="center"/>
        </w:trPr>
        <w:tc>
          <w:tcPr>
            <w:tcW w:w="3312" w:type="dxa"/>
            <w:tcBorders/>
            <w:vAlign w:val="center"/>
          </w:tcPr>
          <w:p w14:paraId="FEF31ABF">
            <w:pPr>
              <w:pStyle w:val="style0"/>
              <w:rPr/>
            </w:pPr>
            <w:r>
              <w:rPr>
                <w:rFonts w:ascii="Aptos" w:hAnsi="Aptos"/>
                <w:b w:val="false"/>
                <w:sz w:val="17"/>
              </w:rPr>
              <w:t>Authentication</w:t>
            </w:r>
          </w:p>
        </w:tc>
        <w:tc>
          <w:tcPr>
            <w:tcW w:w="3312" w:type="dxa"/>
            <w:tcBorders/>
            <w:vAlign w:val="center"/>
          </w:tcPr>
          <w:p w14:paraId="B326BC8F">
            <w:pPr>
              <w:pStyle w:val="style0"/>
              <w:rPr/>
            </w:pPr>
            <w:r>
              <w:rPr>
                <w:rFonts w:ascii="Aptos" w:hAnsi="Aptos"/>
                <w:b w:val="false"/>
                <w:sz w:val="17"/>
              </w:rPr>
              <w:t>Stronger authentication mainly for administrators</w:t>
            </w:r>
          </w:p>
        </w:tc>
        <w:tc>
          <w:tcPr>
            <w:tcW w:w="3312" w:type="dxa"/>
            <w:tcBorders/>
            <w:vAlign w:val="center"/>
          </w:tcPr>
          <w:p w14:paraId="DD35692A">
            <w:pPr>
              <w:pStyle w:val="style0"/>
              <w:rPr/>
            </w:pPr>
            <w:r>
              <w:rPr>
                <w:rFonts w:ascii="Aptos" w:hAnsi="Aptos"/>
                <w:b w:val="false"/>
                <w:sz w:val="17"/>
              </w:rPr>
              <w:t>MFA required for privileged, remote, and high-risk access; stronger methods where practical</w:t>
            </w:r>
          </w:p>
        </w:tc>
      </w:tr>
      <w:tr w14:paraId="FB632E72">
        <w:tblPrEx/>
        <w:trPr>
          <w:jc w:val="center"/>
        </w:trPr>
        <w:tc>
          <w:tcPr>
            <w:tcW w:w="3312" w:type="dxa"/>
            <w:tcBorders/>
            <w:vAlign w:val="center"/>
          </w:tcPr>
          <w:p w14:paraId="F3ED73EB">
            <w:pPr>
              <w:pStyle w:val="style0"/>
              <w:rPr/>
            </w:pPr>
            <w:r>
              <w:rPr>
                <w:rFonts w:ascii="Aptos" w:hAnsi="Aptos"/>
                <w:b w:val="false"/>
                <w:sz w:val="17"/>
              </w:rPr>
              <w:t>Access review</w:t>
            </w:r>
          </w:p>
        </w:tc>
        <w:tc>
          <w:tcPr>
            <w:tcW w:w="3312" w:type="dxa"/>
            <w:tcBorders/>
            <w:vAlign w:val="center"/>
          </w:tcPr>
          <w:p w14:paraId="13B82F26">
            <w:pPr>
              <w:pStyle w:val="style0"/>
              <w:rPr/>
            </w:pPr>
            <w:r>
              <w:rPr>
                <w:rFonts w:ascii="Aptos" w:hAnsi="Aptos"/>
                <w:b w:val="false"/>
                <w:sz w:val="17"/>
              </w:rPr>
              <w:t>Manager approval</w:t>
            </w:r>
          </w:p>
        </w:tc>
        <w:tc>
          <w:tcPr>
            <w:tcW w:w="3312" w:type="dxa"/>
            <w:tcBorders/>
            <w:vAlign w:val="center"/>
          </w:tcPr>
          <w:p w14:paraId="60110E5F">
            <w:pPr>
              <w:pStyle w:val="style0"/>
              <w:rPr/>
            </w:pPr>
            <w:r>
              <w:rPr>
                <w:rFonts w:ascii="Aptos" w:hAnsi="Aptos"/>
                <w:b w:val="false"/>
                <w:sz w:val="17"/>
              </w:rPr>
              <w:t>Formal periodic reviews plus joiner/mover/leaver process</w:t>
            </w:r>
          </w:p>
        </w:tc>
      </w:tr>
      <w:tr w14:paraId="7B22C3D8">
        <w:tblPrEx/>
        <w:trPr>
          <w:jc w:val="center"/>
        </w:trPr>
        <w:tc>
          <w:tcPr>
            <w:tcW w:w="3312" w:type="dxa"/>
            <w:tcBorders/>
            <w:vAlign w:val="center"/>
          </w:tcPr>
          <w:p w14:paraId="F3DF93CE">
            <w:pPr>
              <w:pStyle w:val="style0"/>
              <w:rPr/>
            </w:pPr>
            <w:r>
              <w:rPr>
                <w:rFonts w:ascii="Aptos" w:hAnsi="Aptos"/>
                <w:b w:val="false"/>
                <w:sz w:val="17"/>
              </w:rPr>
              <w:t>Data</w:t>
            </w:r>
          </w:p>
        </w:tc>
        <w:tc>
          <w:tcPr>
            <w:tcW w:w="3312" w:type="dxa"/>
            <w:tcBorders/>
            <w:vAlign w:val="center"/>
          </w:tcPr>
          <w:p w14:paraId="1F44A710">
            <w:pPr>
              <w:pStyle w:val="style0"/>
              <w:rPr/>
            </w:pPr>
            <w:r>
              <w:rPr>
                <w:rFonts w:ascii="Aptos" w:hAnsi="Aptos"/>
                <w:b w:val="false"/>
                <w:sz w:val="17"/>
              </w:rPr>
              <w:t>Approved storage and sharing</w:t>
            </w:r>
          </w:p>
        </w:tc>
        <w:tc>
          <w:tcPr>
            <w:tcW w:w="3312" w:type="dxa"/>
            <w:tcBorders/>
            <w:vAlign w:val="center"/>
          </w:tcPr>
          <w:p w14:paraId="65958839">
            <w:pPr>
              <w:pStyle w:val="style0"/>
              <w:rPr/>
            </w:pPr>
            <w:r>
              <w:rPr>
                <w:rFonts w:ascii="Aptos" w:hAnsi="Aptos"/>
                <w:b w:val="false"/>
                <w:sz w:val="17"/>
              </w:rPr>
              <w:t>Classification, encryption, retention, access, and secure disposal</w:t>
            </w:r>
          </w:p>
        </w:tc>
      </w:tr>
      <w:tr w14:paraId="99C4369E">
        <w:tblPrEx/>
        <w:trPr>
          <w:jc w:val="center"/>
        </w:trPr>
        <w:tc>
          <w:tcPr>
            <w:tcW w:w="3312" w:type="dxa"/>
            <w:tcBorders/>
            <w:vAlign w:val="center"/>
          </w:tcPr>
          <w:p w14:paraId="76A2EBBC">
            <w:pPr>
              <w:pStyle w:val="style0"/>
              <w:rPr/>
            </w:pPr>
            <w:r>
              <w:rPr>
                <w:rFonts w:ascii="Aptos" w:hAnsi="Aptos"/>
                <w:b w:val="false"/>
                <w:sz w:val="17"/>
              </w:rPr>
              <w:t>Monitoring</w:t>
            </w:r>
          </w:p>
        </w:tc>
        <w:tc>
          <w:tcPr>
            <w:tcW w:w="3312" w:type="dxa"/>
            <w:tcBorders/>
            <w:vAlign w:val="center"/>
          </w:tcPr>
          <w:p w14:paraId="BACBA1EB">
            <w:pPr>
              <w:pStyle w:val="style0"/>
              <w:rPr/>
            </w:pPr>
            <w:r>
              <w:rPr>
                <w:rFonts w:ascii="Aptos" w:hAnsi="Aptos"/>
                <w:b w:val="false"/>
                <w:sz w:val="17"/>
              </w:rPr>
              <w:t>Not specified</w:t>
            </w:r>
          </w:p>
        </w:tc>
        <w:tc>
          <w:tcPr>
            <w:tcW w:w="3312" w:type="dxa"/>
            <w:tcBorders/>
            <w:vAlign w:val="center"/>
          </w:tcPr>
          <w:p w14:paraId="2FA69417">
            <w:pPr>
              <w:pStyle w:val="style0"/>
              <w:rPr/>
            </w:pPr>
            <w:r>
              <w:rPr>
                <w:rFonts w:ascii="Aptos" w:hAnsi="Aptos"/>
                <w:b w:val="false"/>
                <w:sz w:val="17"/>
              </w:rPr>
              <w:t>Centralized logging and defined monitoring responsibilities</w:t>
            </w:r>
          </w:p>
        </w:tc>
      </w:tr>
      <w:tr w14:paraId="8071BFF6">
        <w:tblPrEx/>
        <w:trPr>
          <w:jc w:val="center"/>
        </w:trPr>
        <w:tc>
          <w:tcPr>
            <w:tcW w:w="3312" w:type="dxa"/>
            <w:tcBorders/>
            <w:vAlign w:val="center"/>
          </w:tcPr>
          <w:p w14:paraId="2BC0D3AE">
            <w:pPr>
              <w:pStyle w:val="style0"/>
              <w:rPr/>
            </w:pPr>
            <w:r>
              <w:rPr>
                <w:rFonts w:ascii="Aptos" w:hAnsi="Aptos"/>
                <w:b w:val="false"/>
                <w:sz w:val="17"/>
              </w:rPr>
              <w:t>Incidents</w:t>
            </w:r>
          </w:p>
        </w:tc>
        <w:tc>
          <w:tcPr>
            <w:tcW w:w="3312" w:type="dxa"/>
            <w:tcBorders/>
            <w:vAlign w:val="center"/>
          </w:tcPr>
          <w:p w14:paraId="FFD77777">
            <w:pPr>
              <w:pStyle w:val="style0"/>
              <w:rPr/>
            </w:pPr>
            <w:r>
              <w:rPr>
                <w:rFonts w:ascii="Aptos" w:hAnsi="Aptos"/>
                <w:b w:val="false"/>
                <w:sz w:val="17"/>
              </w:rPr>
              <w:t>Report suspected incidents</w:t>
            </w:r>
          </w:p>
        </w:tc>
        <w:tc>
          <w:tcPr>
            <w:tcW w:w="3312" w:type="dxa"/>
            <w:tcBorders/>
            <w:vAlign w:val="center"/>
          </w:tcPr>
          <w:p w14:paraId="8ED5FF45">
            <w:pPr>
              <w:pStyle w:val="style0"/>
              <w:rPr/>
            </w:pPr>
            <w:r>
              <w:rPr>
                <w:rFonts w:ascii="Aptos" w:hAnsi="Aptos"/>
                <w:b w:val="false"/>
                <w:sz w:val="17"/>
              </w:rPr>
              <w:t>Full lifecycle: prepare, detect, analyze, contain, eradicate, recover, learn</w:t>
            </w:r>
          </w:p>
        </w:tc>
      </w:tr>
      <w:tr w14:paraId="9863DD73">
        <w:tblPrEx/>
        <w:trPr>
          <w:jc w:val="center"/>
        </w:trPr>
        <w:tc>
          <w:tcPr>
            <w:tcW w:w="3312" w:type="dxa"/>
            <w:tcBorders/>
            <w:vAlign w:val="center"/>
          </w:tcPr>
          <w:p w14:paraId="8934B4AF">
            <w:pPr>
              <w:pStyle w:val="style0"/>
              <w:rPr/>
            </w:pPr>
            <w:r>
              <w:rPr>
                <w:rFonts w:ascii="Aptos" w:hAnsi="Aptos"/>
                <w:b w:val="false"/>
                <w:sz w:val="17"/>
              </w:rPr>
              <w:t>Backups</w:t>
            </w:r>
          </w:p>
        </w:tc>
        <w:tc>
          <w:tcPr>
            <w:tcW w:w="3312" w:type="dxa"/>
            <w:tcBorders/>
            <w:vAlign w:val="center"/>
          </w:tcPr>
          <w:p w14:paraId="296DDFC1">
            <w:pPr>
              <w:pStyle w:val="style0"/>
              <w:rPr/>
            </w:pPr>
            <w:r>
              <w:rPr>
                <w:rFonts w:ascii="Aptos" w:hAnsi="Aptos"/>
                <w:b w:val="false"/>
                <w:sz w:val="17"/>
              </w:rPr>
              <w:t>Regular backups</w:t>
            </w:r>
          </w:p>
        </w:tc>
        <w:tc>
          <w:tcPr>
            <w:tcW w:w="3312" w:type="dxa"/>
            <w:tcBorders/>
            <w:vAlign w:val="center"/>
          </w:tcPr>
          <w:p w14:paraId="AFD3A47F">
            <w:pPr>
              <w:pStyle w:val="style0"/>
              <w:rPr/>
            </w:pPr>
            <w:r>
              <w:rPr>
                <w:rFonts w:ascii="Aptos" w:hAnsi="Aptos"/>
                <w:b w:val="false"/>
                <w:sz w:val="17"/>
              </w:rPr>
              <w:t>Defined RTO/RPO, protected copies, restore tests, ownership</w:t>
            </w:r>
          </w:p>
        </w:tc>
      </w:tr>
      <w:tr w14:paraId="70009AFC">
        <w:tblPrEx/>
        <w:trPr>
          <w:jc w:val="center"/>
        </w:trPr>
        <w:tc>
          <w:tcPr>
            <w:tcW w:w="3312" w:type="dxa"/>
            <w:tcBorders/>
            <w:vAlign w:val="center"/>
          </w:tcPr>
          <w:p w14:paraId="7E60A2C1">
            <w:pPr>
              <w:pStyle w:val="style0"/>
              <w:rPr/>
            </w:pPr>
            <w:r>
              <w:rPr>
                <w:rFonts w:ascii="Aptos" w:hAnsi="Aptos"/>
                <w:b w:val="false"/>
                <w:sz w:val="17"/>
              </w:rPr>
              <w:t>Vendors</w:t>
            </w:r>
          </w:p>
        </w:tc>
        <w:tc>
          <w:tcPr>
            <w:tcW w:w="3312" w:type="dxa"/>
            <w:tcBorders/>
            <w:vAlign w:val="center"/>
          </w:tcPr>
          <w:p w14:paraId="FD7F533F">
            <w:pPr>
              <w:pStyle w:val="style0"/>
              <w:rPr/>
            </w:pPr>
            <w:r>
              <w:rPr>
                <w:rFonts w:ascii="Aptos" w:hAnsi="Aptos"/>
                <w:b w:val="false"/>
                <w:sz w:val="17"/>
              </w:rPr>
              <w:t>General security expectation</w:t>
            </w:r>
          </w:p>
        </w:tc>
        <w:tc>
          <w:tcPr>
            <w:tcW w:w="3312" w:type="dxa"/>
            <w:tcBorders/>
            <w:vAlign w:val="center"/>
          </w:tcPr>
          <w:p w14:paraId="1F009F12">
            <w:pPr>
              <w:pStyle w:val="style0"/>
              <w:rPr/>
            </w:pPr>
            <w:r>
              <w:rPr>
                <w:rFonts w:ascii="Aptos" w:hAnsi="Aptos"/>
                <w:b w:val="false"/>
                <w:sz w:val="17"/>
              </w:rPr>
              <w:t>Risk-tiering, due diligence, contract requirements, monitoring, offboarding</w:t>
            </w:r>
          </w:p>
        </w:tc>
      </w:tr>
      <w:tr w14:paraId="254A975E">
        <w:tblPrEx/>
        <w:trPr>
          <w:jc w:val="center"/>
        </w:trPr>
        <w:tc>
          <w:tcPr>
            <w:tcW w:w="3312" w:type="dxa"/>
            <w:tcBorders/>
            <w:vAlign w:val="center"/>
          </w:tcPr>
          <w:p w14:paraId="D2D3F6EC">
            <w:pPr>
              <w:pStyle w:val="style0"/>
              <w:rPr/>
            </w:pPr>
            <w:r>
              <w:rPr>
                <w:rFonts w:ascii="Aptos" w:hAnsi="Aptos"/>
                <w:b w:val="false"/>
                <w:sz w:val="17"/>
              </w:rPr>
              <w:t>Governance</w:t>
            </w:r>
          </w:p>
        </w:tc>
        <w:tc>
          <w:tcPr>
            <w:tcW w:w="3312" w:type="dxa"/>
            <w:tcBorders/>
            <w:vAlign w:val="center"/>
          </w:tcPr>
          <w:p w14:paraId="BF034BE0">
            <w:pPr>
              <w:pStyle w:val="style0"/>
              <w:rPr/>
            </w:pPr>
            <w:r>
              <w:rPr>
                <w:rFonts w:ascii="Aptos" w:hAnsi="Aptos"/>
                <w:b w:val="false"/>
                <w:sz w:val="17"/>
              </w:rPr>
              <w:t>Periodic review</w:t>
            </w:r>
          </w:p>
        </w:tc>
        <w:tc>
          <w:tcPr>
            <w:tcW w:w="3312" w:type="dxa"/>
            <w:tcBorders/>
            <w:vAlign w:val="center"/>
          </w:tcPr>
          <w:p w14:paraId="6536D977">
            <w:pPr>
              <w:pStyle w:val="style0"/>
              <w:rPr/>
            </w:pPr>
            <w:r>
              <w:rPr>
                <w:rFonts w:ascii="Aptos" w:hAnsi="Aptos"/>
                <w:b w:val="false"/>
                <w:sz w:val="17"/>
              </w:rPr>
              <w:t>Named owner, risk acceptance, metrics, management review, continual improvement</w:t>
            </w:r>
          </w:p>
        </w:tc>
      </w:tr>
    </w:tbl>
    <w:p w14:paraId="C14D9B26">
      <w:pPr>
        <w:pStyle w:val="style1"/>
        <w:rPr/>
      </w:pPr>
      <w:r>
        <w:t>14. Risks of Leaving the Gaps Unaddressed</w:t>
      </w:r>
    </w:p>
    <w:p w14:paraId="65DAB1F1">
      <w:pPr>
        <w:pStyle w:val="style48"/>
        <w:spacing w:after="40"/>
        <w:rPr/>
      </w:pPr>
      <w:r>
        <w:t>Compromised credentials could lead to unauthorized access when MFA and least privilege are weak.</w:t>
      </w:r>
    </w:p>
    <w:p w14:paraId="B72798FF">
      <w:pPr>
        <w:pStyle w:val="style48"/>
        <w:spacing w:after="40"/>
        <w:rPr/>
      </w:pPr>
      <w:r>
        <w:t>Unpatched vulnerabilities can provide attackers with known paths into systems.</w:t>
      </w:r>
    </w:p>
    <w:p w14:paraId="63CD8C68">
      <w:pPr>
        <w:pStyle w:val="style48"/>
        <w:spacing w:after="40"/>
        <w:rPr/>
      </w:pPr>
      <w:r>
        <w:t>Insufficient logging can delay detection and make investigation harder.</w:t>
      </w:r>
    </w:p>
    <w:p w14:paraId="27529F6B">
      <w:pPr>
        <w:pStyle w:val="style48"/>
        <w:spacing w:after="40"/>
        <w:rPr/>
      </w:pPr>
      <w:r>
        <w:t>Untested backups may fail when recovery is urgently required.</w:t>
      </w:r>
    </w:p>
    <w:p w14:paraId="706DEAF8">
      <w:pPr>
        <w:pStyle w:val="style48"/>
        <w:spacing w:after="40"/>
        <w:rPr/>
      </w:pPr>
      <w:r>
        <w:t>Unstructured incident response can increase confusion, downtime, and inconsistent communications.</w:t>
      </w:r>
    </w:p>
    <w:p w14:paraId="2EB3285E">
      <w:pPr>
        <w:pStyle w:val="style48"/>
        <w:spacing w:after="40"/>
        <w:rPr/>
      </w:pPr>
      <w:r>
        <w:t>Weak supplier controls can expose organizational information through third parties.</w:t>
      </w:r>
    </w:p>
    <w:p w14:paraId="19C5BEF7">
      <w:pPr>
        <w:pStyle w:val="style48"/>
        <w:spacing w:after="40"/>
        <w:rPr/>
      </w:pPr>
      <w:r>
        <w:t>Unclear governance can result in security responsibilities being missed or duplicated.</w:t>
      </w:r>
    </w:p>
    <w:p w14:paraId="FBBEE1D4">
      <w:pPr>
        <w:pStyle w:val="style1"/>
        <w:rPr/>
      </w:pPr>
      <w:r>
        <w:t>15. Conclusion</w:t>
      </w:r>
    </w:p>
    <w:p w14:paraId="5E1E5801">
      <w:pPr>
        <w:pStyle w:val="style0"/>
        <w:rPr/>
      </w:pPr>
      <w:r>
        <w:t>The hypothetical security policy provides a useful starting point because it covers several fundamental areas. However, a modern cybersecurity program requires more than broad statements. Policies should be supported by defined responsibilities, measurable requirements, technical controls, risk-based priorities, monitoring, testing, and continual improvement.</w:t>
      </w:r>
    </w:p>
    <w:p w14:paraId="46647A77">
      <w:pPr>
        <w:pStyle w:val="style0"/>
        <w:rPr/>
      </w:pPr>
      <w:r>
        <w:t>The recommendations in this report focus first on identity protection, access management, incident response, patching, logging, backup resilience, and governance because these areas directly strengthen prevention, detection, response, and recovery. The organization should implement the recommendations according to its own risk profile, resources, legal obligations, and business requirements.</w:t>
      </w:r>
    </w:p>
    <w:p w14:paraId="033B7B99">
      <w:pPr>
        <w:pStyle w:val="style1"/>
        <w:rPr/>
      </w:pPr>
      <w:r>
        <w:t>16. Limitations and Assumptions</w:t>
      </w:r>
    </w:p>
    <w:p w14:paraId="CF064967">
      <w:pPr>
        <w:pStyle w:val="style48"/>
        <w:spacing w:after="40"/>
        <w:rPr/>
      </w:pPr>
      <w:r>
        <w:t>The policy reviewed in this report is hypothetical and generic; it is not an assessment of a real organization's confidential controls.</w:t>
      </w:r>
    </w:p>
    <w:p w14:paraId="D41157F5">
      <w:pPr>
        <w:pStyle w:val="style48"/>
        <w:spacing w:after="40"/>
        <w:rPr/>
      </w:pPr>
      <w:r>
        <w:t>A full ISO/IEC 27001 conformity assessment would require evidence, documented processes, interviews, and audit activities beyond this report.</w:t>
      </w:r>
    </w:p>
    <w:p w14:paraId="96E9BB58">
      <w:pPr>
        <w:pStyle w:val="style48"/>
        <w:spacing w:after="40"/>
        <w:rPr/>
      </w:pPr>
      <w:r>
        <w:t>NIST CSF 2.0 is used as a risk-management framework and not as a certification checklist.</w:t>
      </w:r>
    </w:p>
    <w:p w14:paraId="0E5CB4ED">
      <w:pPr>
        <w:pStyle w:val="style48"/>
        <w:spacing w:after="40"/>
        <w:rPr/>
      </w:pPr>
      <w:r>
        <w:t>The example targets and timeframes are practical starting points and should be adjusted after a formal risk assessment.</w:t>
      </w:r>
    </w:p>
    <w:p w14:paraId="E5730FF9">
      <w:pPr>
        <w:pStyle w:val="style1"/>
        <w:rPr/>
      </w:pPr>
      <w:r>
        <w:t>17. References</w:t>
      </w:r>
    </w:p>
    <w:p w14:paraId="E79EB0B8">
      <w:pPr>
        <w:pStyle w:val="style0"/>
        <w:spacing w:after="100"/>
        <w:rPr/>
      </w:pPr>
      <w:r>
        <w:rPr>
          <w:b/>
        </w:rPr>
        <w:t>NIST – The NIST Cybersecurity Framework (CSF) 2.0</w:t>
      </w:r>
      <w:r>
        <w:t xml:space="preserve"> — Official NIST publication page, published February 26, 2024. </w:t>
      </w:r>
      <w:r>
        <w:rPr>
          <w:i/>
        </w:rPr>
        <w:t>https://www.nist.gov/publications/nist-cybersecurity-framework-csf-20</w:t>
      </w:r>
    </w:p>
    <w:p w14:paraId="4CB7025C">
      <w:pPr>
        <w:pStyle w:val="style0"/>
        <w:spacing w:after="100"/>
        <w:rPr/>
      </w:pPr>
      <w:r>
        <w:rPr>
          <w:b/>
        </w:rPr>
        <w:t>NIST – Cybersecurity Framework 2.0 Resource &amp; Overview Guide</w:t>
      </w:r>
      <w:r>
        <w:t xml:space="preserve"> — Official guide describing the six CSF 2.0 Functions and how organizations can use the framework. </w:t>
      </w:r>
      <w:r>
        <w:rPr>
          <w:i/>
        </w:rPr>
        <w:t>https://nvlpubs.nist.gov/nistpubs/SpecialPublications/NIST.SP.1299.pdf</w:t>
      </w:r>
    </w:p>
    <w:p w14:paraId="94DBB6D6">
      <w:pPr>
        <w:pStyle w:val="style0"/>
        <w:spacing w:after="100"/>
        <w:rPr/>
      </w:pPr>
      <w:r>
        <w:rPr>
          <w:b/>
        </w:rPr>
        <w:t>ISO – ISO/IEC 27001:2022 Information security management systems</w:t>
      </w:r>
      <w:r>
        <w:t xml:space="preserve"> — Official ISO standard page describing ISO/IEC 27001:2022 and ISMS requirements. </w:t>
      </w:r>
      <w:r>
        <w:rPr>
          <w:i/>
        </w:rPr>
        <w:t>https://www.iso.org/standard/27001</w:t>
      </w:r>
    </w:p>
    <w:p w14:paraId="2B9861AA">
      <w:pPr>
        <w:pStyle w:val="style0"/>
        <w:spacing w:after="100"/>
        <w:rPr/>
      </w:pPr>
      <w:r>
        <w:rPr>
          <w:b/>
        </w:rPr>
        <w:t>NIST CSRC – SP 800-53 Rev. 5</w:t>
      </w:r>
      <w:r>
        <w:t xml:space="preserve"> — Official NIST control catalog covering security and privacy control families. </w:t>
      </w:r>
      <w:r>
        <w:rPr>
          <w:i/>
        </w:rPr>
        <w:t>https://csrc.nist.gov/pubs/sp/800/53/r5/final</w:t>
      </w:r>
    </w:p>
    <w:p w14:paraId="873A286E">
      <w:pPr>
        <w:pStyle w:val="style0"/>
        <w:spacing w:after="100"/>
        <w:rPr/>
      </w:pPr>
      <w:r>
        <w:rPr>
          <w:b/>
        </w:rPr>
        <w:t>NIST – Cybersecurity Framework Resource Center</w:t>
      </w:r>
      <w:r>
        <w:t xml:space="preserve"> — Official NIST CSF resource center and current CSF 2.0 resources. </w:t>
      </w:r>
      <w:r>
        <w:rPr>
          <w:i/>
        </w:rPr>
        <w:t>https://www.nist.gov/cyberframework</w:t>
      </w:r>
    </w:p>
    <w:p w14:paraId="972E07CC">
      <w:pPr>
        <w:pStyle w:val="style1"/>
        <w:rPr/>
      </w:pPr>
      <w:r>
        <w:t>18. Assessment at a Glance</w:t>
      </w:r>
    </w:p>
    <w:p w14:paraId="0799FBD6">
      <w:pPr>
        <w:pStyle w:val="style0"/>
        <w:rPr/>
      </w:pPr>
      <w:r>
        <w:rPr>
          <w:b/>
        </w:rPr>
        <w:t xml:space="preserve">Overall assessment: </w:t>
      </w:r>
      <w:r>
        <w:t>The baseline policy is a useful foundation, but several controls need clearer ownership, measurable requirements, technical implementation, monitoring, testing, and regular review.</w:t>
      </w:r>
    </w:p>
    <w:tbl>
      <w:tblPr>
        <w:tblStyle w:val="style154"/>
        <w:tblW w:w="0" w:type="auto"/>
        <w:jc w:val="center"/>
        <w:tblLook w:val="04A0" w:firstRow="1" w:lastRow="0" w:firstColumn="1" w:lastColumn="0" w:noHBand="0" w:noVBand="1"/>
      </w:tblPr>
      <w:tblGrid>
        <w:gridCol w:w="2484"/>
        <w:gridCol w:w="2484"/>
        <w:gridCol w:w="2484"/>
        <w:gridCol w:w="2484"/>
      </w:tblGrid>
      <w:tr w14:paraId="0833963B">
        <w:trPr>
          <w:jc w:val="center"/>
        </w:trPr>
        <w:tc>
          <w:tcPr>
            <w:tcW w:w="2484" w:type="dxa"/>
            <w:tcBorders/>
          </w:tcPr>
          <w:p w14:paraId="C077219C">
            <w:pPr>
              <w:pStyle w:val="style0"/>
              <w:rPr/>
            </w:pPr>
            <w:r>
              <w:rPr>
                <w:b/>
                <w:sz w:val="18"/>
              </w:rPr>
              <w:t>Security Area</w:t>
            </w:r>
          </w:p>
        </w:tc>
        <w:tc>
          <w:tcPr>
            <w:tcW w:w="2484" w:type="dxa"/>
            <w:tcBorders/>
          </w:tcPr>
          <w:p w14:paraId="9BE9C6A0">
            <w:pPr>
              <w:pStyle w:val="style0"/>
              <w:rPr/>
            </w:pPr>
            <w:r>
              <w:rPr>
                <w:b/>
                <w:sz w:val="18"/>
              </w:rPr>
              <w:t>Baseline</w:t>
            </w:r>
          </w:p>
        </w:tc>
        <w:tc>
          <w:tcPr>
            <w:tcW w:w="2484" w:type="dxa"/>
            <w:tcBorders/>
          </w:tcPr>
          <w:p w14:paraId="B22E9DF4">
            <w:pPr>
              <w:pStyle w:val="style0"/>
              <w:rPr/>
            </w:pPr>
            <w:r>
              <w:rPr>
                <w:b/>
                <w:sz w:val="18"/>
              </w:rPr>
              <w:t>Main Gap</w:t>
            </w:r>
          </w:p>
        </w:tc>
        <w:tc>
          <w:tcPr>
            <w:tcW w:w="2484" w:type="dxa"/>
            <w:tcBorders/>
          </w:tcPr>
          <w:p w14:paraId="35281670">
            <w:pPr>
              <w:pStyle w:val="style0"/>
              <w:rPr/>
            </w:pPr>
            <w:r>
              <w:rPr>
                <w:b/>
                <w:sz w:val="18"/>
              </w:rPr>
              <w:t>Recommended Direction</w:t>
            </w:r>
          </w:p>
        </w:tc>
      </w:tr>
      <w:tr w14:paraId="0E3B766C">
        <w:tblPrEx/>
        <w:trPr>
          <w:jc w:val="center"/>
        </w:trPr>
        <w:tc>
          <w:tcPr>
            <w:tcW w:w="2484" w:type="dxa"/>
            <w:tcBorders/>
          </w:tcPr>
          <w:p w14:paraId="C37E8AE0">
            <w:pPr>
              <w:pStyle w:val="style0"/>
              <w:rPr/>
            </w:pPr>
            <w:r>
              <w:rPr>
                <w:sz w:val="17"/>
              </w:rPr>
              <w:t>Identity</w:t>
            </w:r>
          </w:p>
        </w:tc>
        <w:tc>
          <w:tcPr>
            <w:tcW w:w="2484" w:type="dxa"/>
            <w:tcBorders/>
          </w:tcPr>
          <w:p w14:paraId="71C74EB6">
            <w:pPr>
              <w:pStyle w:val="style0"/>
              <w:rPr/>
            </w:pPr>
            <w:r>
              <w:rPr>
                <w:sz w:val="17"/>
              </w:rPr>
              <w:t>Basic</w:t>
            </w:r>
          </w:p>
        </w:tc>
        <w:tc>
          <w:tcPr>
            <w:tcW w:w="2484" w:type="dxa"/>
            <w:tcBorders/>
          </w:tcPr>
          <w:p w14:paraId="4D621E0B">
            <w:pPr>
              <w:pStyle w:val="style0"/>
              <w:rPr/>
            </w:pPr>
            <w:r>
              <w:rPr>
                <w:sz w:val="17"/>
              </w:rPr>
              <w:t>MFA / access reviews</w:t>
            </w:r>
          </w:p>
        </w:tc>
        <w:tc>
          <w:tcPr>
            <w:tcW w:w="2484" w:type="dxa"/>
            <w:tcBorders/>
          </w:tcPr>
          <w:p w14:paraId="5C4438BB">
            <w:pPr>
              <w:pStyle w:val="style0"/>
              <w:rPr/>
            </w:pPr>
            <w:r>
              <w:rPr>
                <w:sz w:val="17"/>
              </w:rPr>
              <w:t>Strengthen IAM + MFA</w:t>
            </w:r>
          </w:p>
        </w:tc>
      </w:tr>
      <w:tr w14:paraId="0A3877CD">
        <w:tblPrEx/>
        <w:trPr>
          <w:jc w:val="center"/>
        </w:trPr>
        <w:tc>
          <w:tcPr>
            <w:tcW w:w="2484" w:type="dxa"/>
            <w:tcBorders/>
          </w:tcPr>
          <w:p w14:paraId="0F56D1F1">
            <w:pPr>
              <w:pStyle w:val="style0"/>
              <w:rPr/>
            </w:pPr>
            <w:r>
              <w:rPr>
                <w:sz w:val="17"/>
              </w:rPr>
              <w:t>Data</w:t>
            </w:r>
          </w:p>
        </w:tc>
        <w:tc>
          <w:tcPr>
            <w:tcW w:w="2484" w:type="dxa"/>
            <w:tcBorders/>
          </w:tcPr>
          <w:p w14:paraId="D1B30690">
            <w:pPr>
              <w:pStyle w:val="style0"/>
              <w:rPr/>
            </w:pPr>
            <w:r>
              <w:rPr>
                <w:sz w:val="17"/>
              </w:rPr>
              <w:t>Basic</w:t>
            </w:r>
          </w:p>
        </w:tc>
        <w:tc>
          <w:tcPr>
            <w:tcW w:w="2484" w:type="dxa"/>
            <w:tcBorders/>
          </w:tcPr>
          <w:p w14:paraId="47DE98F2">
            <w:pPr>
              <w:pStyle w:val="style0"/>
              <w:rPr/>
            </w:pPr>
            <w:r>
              <w:rPr>
                <w:sz w:val="17"/>
              </w:rPr>
              <w:t>Classification / encryption</w:t>
            </w:r>
          </w:p>
        </w:tc>
        <w:tc>
          <w:tcPr>
            <w:tcW w:w="2484" w:type="dxa"/>
            <w:tcBorders/>
          </w:tcPr>
          <w:p w14:paraId="E6FE7787">
            <w:pPr>
              <w:pStyle w:val="style0"/>
              <w:rPr/>
            </w:pPr>
            <w:r>
              <w:rPr>
                <w:sz w:val="17"/>
              </w:rPr>
              <w:t>Formal data protection</w:t>
            </w:r>
          </w:p>
        </w:tc>
      </w:tr>
      <w:tr w14:paraId="FFE74A8E">
        <w:tblPrEx/>
        <w:trPr>
          <w:jc w:val="center"/>
        </w:trPr>
        <w:tc>
          <w:tcPr>
            <w:tcW w:w="2484" w:type="dxa"/>
            <w:tcBorders/>
          </w:tcPr>
          <w:p w14:paraId="FE5BB9CD">
            <w:pPr>
              <w:pStyle w:val="style0"/>
              <w:rPr/>
            </w:pPr>
            <w:r>
              <w:rPr>
                <w:sz w:val="17"/>
              </w:rPr>
              <w:t>Detection</w:t>
            </w:r>
          </w:p>
        </w:tc>
        <w:tc>
          <w:tcPr>
            <w:tcW w:w="2484" w:type="dxa"/>
            <w:tcBorders/>
          </w:tcPr>
          <w:p w14:paraId="648360B9">
            <w:pPr>
              <w:pStyle w:val="style0"/>
              <w:rPr/>
            </w:pPr>
            <w:r>
              <w:rPr>
                <w:sz w:val="17"/>
              </w:rPr>
              <w:t>Limited</w:t>
            </w:r>
          </w:p>
        </w:tc>
        <w:tc>
          <w:tcPr>
            <w:tcW w:w="2484" w:type="dxa"/>
            <w:tcBorders/>
          </w:tcPr>
          <w:p w14:paraId="1458938B">
            <w:pPr>
              <w:pStyle w:val="style0"/>
              <w:rPr/>
            </w:pPr>
            <w:r>
              <w:rPr>
                <w:sz w:val="17"/>
              </w:rPr>
              <w:t>Logging / monitoring</w:t>
            </w:r>
          </w:p>
        </w:tc>
        <w:tc>
          <w:tcPr>
            <w:tcW w:w="2484" w:type="dxa"/>
            <w:tcBorders/>
          </w:tcPr>
          <w:p w14:paraId="B1205B5F">
            <w:pPr>
              <w:pStyle w:val="style0"/>
              <w:rPr/>
            </w:pPr>
            <w:r>
              <w:rPr>
                <w:sz w:val="17"/>
              </w:rPr>
              <w:t>Centralized monitoring</w:t>
            </w:r>
          </w:p>
        </w:tc>
      </w:tr>
      <w:tr w14:paraId="C826CF96">
        <w:tblPrEx/>
        <w:trPr>
          <w:jc w:val="center"/>
        </w:trPr>
        <w:tc>
          <w:tcPr>
            <w:tcW w:w="2484" w:type="dxa"/>
            <w:tcBorders/>
          </w:tcPr>
          <w:p w14:paraId="1361D44F">
            <w:pPr>
              <w:pStyle w:val="style0"/>
              <w:rPr/>
            </w:pPr>
            <w:r>
              <w:rPr>
                <w:sz w:val="17"/>
              </w:rPr>
              <w:t>Response</w:t>
            </w:r>
          </w:p>
        </w:tc>
        <w:tc>
          <w:tcPr>
            <w:tcW w:w="2484" w:type="dxa"/>
            <w:tcBorders/>
          </w:tcPr>
          <w:p w14:paraId="4CFAF2B9">
            <w:pPr>
              <w:pStyle w:val="style0"/>
              <w:rPr/>
            </w:pPr>
            <w:r>
              <w:rPr>
                <w:sz w:val="17"/>
              </w:rPr>
              <w:t>Reporting only</w:t>
            </w:r>
          </w:p>
        </w:tc>
        <w:tc>
          <w:tcPr>
            <w:tcW w:w="2484" w:type="dxa"/>
            <w:tcBorders/>
          </w:tcPr>
          <w:p w14:paraId="9C2C8A70">
            <w:pPr>
              <w:pStyle w:val="style0"/>
              <w:rPr/>
            </w:pPr>
            <w:r>
              <w:rPr>
                <w:sz w:val="17"/>
              </w:rPr>
              <w:t>No full lifecycle</w:t>
            </w:r>
          </w:p>
        </w:tc>
        <w:tc>
          <w:tcPr>
            <w:tcW w:w="2484" w:type="dxa"/>
            <w:tcBorders/>
          </w:tcPr>
          <w:p w14:paraId="BED77E91">
            <w:pPr>
              <w:pStyle w:val="style0"/>
              <w:rPr/>
            </w:pPr>
            <w:r>
              <w:rPr>
                <w:sz w:val="17"/>
              </w:rPr>
              <w:t>IR plan + exercises</w:t>
            </w:r>
          </w:p>
        </w:tc>
      </w:tr>
      <w:tr w14:paraId="1A21294A">
        <w:tblPrEx/>
        <w:trPr>
          <w:jc w:val="center"/>
        </w:trPr>
        <w:tc>
          <w:tcPr>
            <w:tcW w:w="2484" w:type="dxa"/>
            <w:tcBorders/>
          </w:tcPr>
          <w:p w14:paraId="82423EF5">
            <w:pPr>
              <w:pStyle w:val="style0"/>
              <w:rPr/>
            </w:pPr>
            <w:r>
              <w:rPr>
                <w:sz w:val="17"/>
              </w:rPr>
              <w:t>Recovery</w:t>
            </w:r>
          </w:p>
        </w:tc>
        <w:tc>
          <w:tcPr>
            <w:tcW w:w="2484" w:type="dxa"/>
            <w:tcBorders/>
          </w:tcPr>
          <w:p w14:paraId="EFD4E90F">
            <w:pPr>
              <w:pStyle w:val="style0"/>
              <w:rPr/>
            </w:pPr>
            <w:r>
              <w:rPr>
                <w:sz w:val="17"/>
              </w:rPr>
              <w:t>Backups</w:t>
            </w:r>
          </w:p>
        </w:tc>
        <w:tc>
          <w:tcPr>
            <w:tcW w:w="2484" w:type="dxa"/>
            <w:tcBorders/>
          </w:tcPr>
          <w:p w14:paraId="171FD470">
            <w:pPr>
              <w:pStyle w:val="style0"/>
              <w:rPr/>
            </w:pPr>
            <w:r>
              <w:rPr>
                <w:sz w:val="17"/>
              </w:rPr>
              <w:t>No restore testing</w:t>
            </w:r>
          </w:p>
        </w:tc>
        <w:tc>
          <w:tcPr>
            <w:tcW w:w="2484" w:type="dxa"/>
            <w:tcBorders/>
          </w:tcPr>
          <w:p w14:paraId="97D7FED6">
            <w:pPr>
              <w:pStyle w:val="style0"/>
              <w:rPr/>
            </w:pPr>
            <w:r>
              <w:rPr>
                <w:sz w:val="17"/>
              </w:rPr>
              <w:t>RTO/RPO + recovery tests</w:t>
            </w:r>
          </w:p>
        </w:tc>
      </w:tr>
      <w:tr w14:paraId="2A0B2CCF">
        <w:tblPrEx/>
        <w:trPr>
          <w:jc w:val="center"/>
        </w:trPr>
        <w:tc>
          <w:tcPr>
            <w:tcW w:w="2484" w:type="dxa"/>
            <w:tcBorders/>
          </w:tcPr>
          <w:p w14:paraId="F04157B9">
            <w:pPr>
              <w:pStyle w:val="style0"/>
              <w:rPr/>
            </w:pPr>
            <w:r>
              <w:rPr>
                <w:sz w:val="17"/>
              </w:rPr>
              <w:t>Governance</w:t>
            </w:r>
          </w:p>
        </w:tc>
        <w:tc>
          <w:tcPr>
            <w:tcW w:w="2484" w:type="dxa"/>
            <w:tcBorders/>
          </w:tcPr>
          <w:p w14:paraId="14DEB966">
            <w:pPr>
              <w:pStyle w:val="style0"/>
              <w:rPr/>
            </w:pPr>
            <w:r>
              <w:rPr>
                <w:sz w:val="17"/>
              </w:rPr>
              <w:t>Periodic review</w:t>
            </w:r>
          </w:p>
        </w:tc>
        <w:tc>
          <w:tcPr>
            <w:tcW w:w="2484" w:type="dxa"/>
            <w:tcBorders/>
          </w:tcPr>
          <w:p w14:paraId="4EEF2CD6">
            <w:pPr>
              <w:pStyle w:val="style0"/>
              <w:rPr/>
            </w:pPr>
            <w:r>
              <w:rPr>
                <w:sz w:val="17"/>
              </w:rPr>
              <w:t>No metrics / exceptions</w:t>
            </w:r>
          </w:p>
        </w:tc>
        <w:tc>
          <w:tcPr>
            <w:tcW w:w="2484" w:type="dxa"/>
            <w:tcBorders/>
          </w:tcPr>
          <w:p w14:paraId="B8885724">
            <w:pPr>
              <w:pStyle w:val="style0"/>
              <w:rPr/>
            </w:pPr>
            <w:r>
              <w:rPr>
                <w:sz w:val="17"/>
              </w:rPr>
              <w:t>Ownership + KPIs</w:t>
            </w:r>
          </w:p>
        </w:tc>
      </w:tr>
    </w:tbl>
    <w:p w14:paraId="3EFC866C">
      <w:pPr>
        <w:pStyle w:val="style0"/>
        <w:jc w:val="center"/>
        <w:rPr/>
      </w:pPr>
      <w:r>
        <w:rPr>
          <w:b/>
          <w:sz w:val="20"/>
        </w:rPr>
        <w:t>End of Report</w:t>
      </w:r>
    </w:p>
    <w:sectPr>
      <w:footerReference w:type="default" r:id="rId5"/>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1EF315C">
    <w:pPr>
      <w:pStyle w:val="style32"/>
      <w:jc w:val="center"/>
      <w:rPr/>
    </w:pPr>
    <w:r>
      <w:rPr>
        <w:sz w:val="16"/>
      </w:rPr>
      <w:t>Week 4 – Security Policy Review | Internship Report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ptos" w:hAnsi="Aptos"/>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ab9ac8c9-d537-4678-a158-24fb5b608279"/>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1d8062ff-3872-42fd-9038-ed8d762afacc"/>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6"/>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8"/>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sz w:val="23"/>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3bb56da4-090e-4b5c-9202-a15fd156d8b8"/>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a3521165-e78f-446e-a70d-54d03a8efeb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db2a3e0-c16f-4d8e-8bcf-243104ac32c6"/>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adf3b7ad-09d8-46ea-b1b8-6597632f37db"/>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0790d96-2f3c-4976-8945-356ea1e81b5a"/>
    <w:basedOn w:val="style65"/>
    <w:next w:val="style4108"/>
    <w:link w:val="style180"/>
    <w:uiPriority w:val="29"/>
    <w:rPr>
      <w:i/>
      <w:iCs/>
      <w:color w:val="000000"/>
    </w:rPr>
  </w:style>
  <w:style w:type="character" w:customStyle="1" w:styleId="style4109">
    <w:name w:val="Heading 4 Char_cc810c15-4acd-4ba6-a84d-641434f706f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35bf57b0-7505-42d8-af8d-8ea7383db011"/>
    <w:basedOn w:val="style65"/>
    <w:next w:val="style4110"/>
    <w:link w:val="style5"/>
    <w:uiPriority w:val="9"/>
    <w:rPr>
      <w:rFonts w:ascii="Calibri" w:cs="宋体" w:eastAsia="ＭＳ ゴシック" w:hAnsi="Calibri"/>
      <w:color w:val="243f60"/>
    </w:rPr>
  </w:style>
  <w:style w:type="character" w:customStyle="1" w:styleId="style4111">
    <w:name w:val="Heading 6 Char_d02d4c70-e0cc-411d-a056-2de45b3da8b5"/>
    <w:basedOn w:val="style65"/>
    <w:next w:val="style4111"/>
    <w:link w:val="style6"/>
    <w:uiPriority w:val="9"/>
    <w:rPr>
      <w:rFonts w:ascii="Calibri" w:cs="宋体" w:eastAsia="ＭＳ ゴシック" w:hAnsi="Calibri"/>
      <w:i/>
      <w:iCs/>
      <w:color w:val="243f60"/>
    </w:rPr>
  </w:style>
  <w:style w:type="character" w:customStyle="1" w:styleId="style4112">
    <w:name w:val="Heading 7 Char_9d5a52e5-a010-46fd-b8bd-b1162384810e"/>
    <w:basedOn w:val="style65"/>
    <w:next w:val="style4112"/>
    <w:link w:val="style7"/>
    <w:uiPriority w:val="9"/>
    <w:rPr>
      <w:rFonts w:ascii="Calibri" w:cs="宋体" w:eastAsia="ＭＳ ゴシック" w:hAnsi="Calibri"/>
      <w:i/>
      <w:iCs/>
      <w:color w:val="404040"/>
    </w:rPr>
  </w:style>
  <w:style w:type="character" w:customStyle="1" w:styleId="style4113">
    <w:name w:val="Heading 8 Char_1a3a3bc5-da7f-47ec-87e4-6cd860e8521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0fbc6775-81f4-4493-ae34-0f37eeb61db9"/>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49db1c15-0344-4802-8e7a-eb3fcd99d66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footer" Target="footer1.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2652</Words>
  <Pages>1</Pages>
  <Characters>18228</Characters>
  <Application>WPS Office</Application>
  <DocSecurity>0</DocSecurity>
  <Paragraphs>465</Paragraphs>
  <ScaleCrop>false</ScaleCrop>
  <LinksUpToDate>false</LinksUpToDate>
  <CharactersWithSpaces>20502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24116RNC1I</lastModifiedBy>
  <dcterms:modified xsi:type="dcterms:W3CDTF">2026-10-01T15:57:56Z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f86514b5c7de474b9b5f6ac79016d609_23</vt:lpwstr>
  </property>
</Properties>
</file>