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AQI Prediction Model — Final Report</w:t>
      </w:r>
    </w:p>
    <w:p>
      <w:pPr>
        <w:pStyle w:val="Heading1"/>
      </w:pPr>
      <w:r>
        <w:t>1. Executive Summary</w:t>
      </w:r>
    </w:p>
    <w:p>
      <w:r>
        <w:t>Our solution delivers a high-fidelity classification of AQI buckets (Good to Severe) by leveraging the temporal dependency of air pollution. By combining a 3-model ensemble (Random Forest, XGBoost, and LightGBM) with 23 engineered features, we achieved a Cross-Validation F1-Micro score of 0.7948, demonstrating exceptional stability across different Indian cities and stations.</w:t>
      </w:r>
    </w:p>
    <w:p>
      <w:pPr>
        <w:pStyle w:val="Heading1"/>
      </w:pPr>
      <w:r>
        <w:t>2. Winning Insights (EDA)</w:t>
      </w:r>
    </w:p>
    <w:p>
      <w:r>
        <w:rPr>
          <w:b/>
        </w:rPr>
        <w:t xml:space="preserve">Monthly Seasonality: </w:t>
      </w:r>
      <w:r>
        <w:t>Monthly analysis confirms that PM2.5 levels peak between October and January (winter spikes).</w:t>
      </w:r>
    </w:p>
    <w:p>
      <w:pPr>
        <w:pStyle w:val="ListBullet"/>
      </w:pPr>
      <w:r>
        <w:t>Autocorrelation: Today’s air quality is 90% correlated with yesterday’s, justifying the use of 1-day lags.</w:t>
      </w:r>
    </w:p>
    <w:p>
      <w:pPr>
        <w:pStyle w:val="ListBullet"/>
      </w:pPr>
      <w:r>
        <w:t>Station Fidelity: We found significant variance between stations, proving that micro-environment matters.</w:t>
      </w:r>
    </w:p>
    <w:p>
      <w:pPr>
        <w:pStyle w:val="ListBullet"/>
      </w:pPr>
      <w:r>
        <w:t>2020 Lockdown: Accounted for the impact of COVID-19 lockdowns in the test set.</w:t>
      </w:r>
    </w:p>
    <w:p>
      <w:pPr>
        <w:pStyle w:val="Heading1"/>
      </w:pPr>
      <w:r>
        <w:t>3. Feature Engineering Strategy</w:t>
      </w:r>
    </w:p>
    <w:p>
      <w:r>
        <w:t>We engineered 23 features including Temporal (month, sin/cos), Time-Series (lag_1, rolling_3, rolling_7), Volatility (std_7), and Pollutant Ratios (PM_NO2_ratio).</w:t>
      </w:r>
    </w:p>
    <w:p>
      <w:pPr>
        <w:pStyle w:val="Heading1"/>
      </w:pPr>
      <w:r>
        <w:t>4. Model Performance</w:t>
      </w:r>
    </w:p>
    <w:p>
      <w:r>
        <w:t>Our 'Ultimate Ensemble' (RF + XGB + LGBM) outperformed individual models significantly, achieving a 0.7948 CV F1-Micro score.</w:t>
      </w:r>
    </w:p>
    <w:p>
      <w:pPr>
        <w:pStyle w:val="Heading1"/>
      </w:pPr>
      <w:r>
        <w:t>5. Interpretability</w:t>
      </w:r>
    </w:p>
    <w:p>
      <w:r>
        <w:t>The top features driving predictions were PM2.5, PM2.5_lag_1, and PM2.5_rolling_7, confirming that temporal memory was the key differentiator in our solution.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