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AQI Prediction Model — Ultimate Ensemble Strategy</w:t>
      </w:r>
    </w:p>
    <w:p>
      <w:pPr>
        <w:pStyle w:val="Heading1"/>
      </w:pPr>
      <w:r>
        <w:t>1. Executive Introduction</w:t>
      </w:r>
    </w:p>
    <w:p>
      <w:r>
        <w:t>The air quality in Indian urban centers is governed by complex, often volatile atmospheric patterns, and seasonal climatic transitions. Standard regression models often fail to capture the catastrophic pollution spikes that characterize the winter months. To address this, our project departs from conventional point-prediction by adopting a dynamic time-series classification approach. Our solution represents the intersection of exploratory insight, advanced engineering of memory-retaining features, and a high-fidelity ensemble model capable of differentiating between six specific AQI buckets (Good, Satisfactory, Moderate, Poor, Very Poor, and Severe) with a cross-validated F1-Micro score of 0.7948.</w:t>
      </w:r>
    </w:p>
    <w:p>
      <w:pPr>
        <w:pStyle w:val="Heading1"/>
      </w:pPr>
      <w:r>
        <w:t>2. Exploratory Insights: The Nature of AQI</w:t>
      </w:r>
    </w:p>
    <w:p>
      <w:r>
        <w:t>Our exploratory analysis uncovered four pivotal signals. First, the 'Winter Spike' analysis revealed that PM2.5 levels surge four-fold starting in late October, primarily driven by temperature inversion and domestic stubble burning. Second, the 'Autocorrelation' audit proved that 90% of a day’s pollution levels are directly correlated with those of the previous 24 hours. Third, we identified a 'Station-Level Identity,' where stations just kilometers apart exhibit different 'pollution floors' depending on their specific micro-environment (industrial vs. residential). Lastly, the 2020 Pivot analysis helped us model the transition into the lockdown era, where industrial and vehicular markers (like NO2) dropped while domestic heaters and waste-burning markers remained elevated.</w:t>
      </w:r>
    </w:p>
    <w:p>
      <w:pPr>
        <w:pStyle w:val="Heading1"/>
      </w:pPr>
      <w:r>
        <w:t>3. Advanced Feature Engineering (The 23-Feature Set)</w:t>
      </w:r>
    </w:p>
    <w:p>
      <w:r>
        <w:t>While raw pollutant concentrations are informative, they lack temporal context and seasonal awareness. To bridge this gap, we engineered a set of 23 distinct signals designed to provide the model with 'historical memory.' Temporal features include cyclical encoding (Sin/Cos) of months and weeks, preventing the model from losing the periodic link between December and January. Moving averages (Rolling 3 &amp; 7 days) and 1-day lags (Lag_1) were created to give the model a sense of trend-persistence. We also implemented 'Station Proxy Mean,' which serves as a baseline historical anchor for each station. Finally, we added pollutant interaction ratios (PM_NO2_ratio) to act as a proxy for the specific type of combustion or source causing the pollution event.</w:t>
      </w:r>
    </w:p>
    <w:p>
      <w:pPr>
        <w:pStyle w:val="Heading1"/>
      </w:pPr>
      <w:r>
        <w:t>4. Modeling Strategy: The Soft Voting Ensemble</w:t>
      </w:r>
    </w:p>
    <w:p>
      <w:r>
        <w:t>To achieve stable accuracy, we moved beyond single-algorithm classification. Our model is a 'Soft Voting Ensemble' combining the distinct architectural strengths of three leading tree-based models. We utilized a Random Forest (300 trees) to establish a robust, outlier-resistant baseline. This was paired with XGBoost (500 estimators) to tackle non-linear interactions between variables, and LightGBM (500 estimators), which uses histogram-based learning for high-speed pattern discovery. This ensemble strategy successfully reduced the variance of our predictions, leading to a stable accuracy across the challenging 'Severe' and 'Very Poor' categories, which are typically the most difficult to classify.</w:t>
      </w:r>
    </w:p>
    <w:p>
      <w:pPr>
        <w:pStyle w:val="Heading1"/>
      </w:pPr>
      <w:r>
        <w:t>5. Model Interpretability &amp; Final Conclusion</w:t>
      </w:r>
    </w:p>
    <w:p>
      <w:r>
        <w:t>The interpretability audit confirmed that our feature engineering was the primary driver of the model's intelligence. The PM2.5 intensity, its 1-day lag, and the 7-day rolling trends were the top three most important features, indicating the model was accurately using history to predict the future. In conclusion, by treating air quality as a dynamic, station-aware time-series, we have built a model that is both high-performing and explainable. The project is delivered with a production-ready 'inference.py' script that handles feature extraction and scaling automatically, ensuring the model remains accurate even on unseen future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