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CIXCI Invoice Management</w:t>
      </w:r>
    </w:p>
    <w:p>
      <w:pPr>
        <w:pStyle w:val="Subtitle"/>
      </w:pPr>
      <w:r>
        <w:t>Expected Workflow &amp; Implementation Comparison Guide | Developer Review</w:t>
      </w:r>
    </w:p>
    <w:tbl>
      <w:tblPr>
        <w:tblStyle w:val="TableGrid"/>
        <w:tblW w:type="auto" w:w="0"/>
        <w:tblLook w:firstColumn="1" w:firstRow="1" w:lastColumn="0" w:lastRow="0" w:noHBand="0" w:noVBand="1" w:val="04A0"/>
      </w:tblPr>
      <w:tblGrid>
        <w:gridCol w:w="10224"/>
      </w:tblGrid>
      <w:tr>
        <w:trPr>
          <w:cantSplit/>
        </w:trPr>
        <w:tc>
          <w:tcPr>
            <w:tcW w:type="dxa" w:w="10224"/>
            <w:shd w:fill="E2F0D9"/>
            <w:tcMar>
              <w:top w:w="100" w:type="dxa"/>
              <w:start w:w="110" w:type="dxa"/>
              <w:bottom w:w="100" w:type="dxa"/>
              <w:end w:w="110" w:type="dxa"/>
            </w:tcMar>
          </w:tcPr>
          <w:p>
            <w:pPr>
              <w:spacing w:after="0"/>
            </w:pPr>
            <w:r>
              <w:rPr>
                <w:b/>
                <w:color w:val="17365D"/>
                <w:sz w:val="21"/>
              </w:rPr>
              <w:t>Purpose</w:t>
              <w:br/>
            </w:r>
            <w:r>
              <w:rPr>
                <w:sz w:val="20"/>
              </w:rPr>
              <w:t>This document explains how the Invoice Management module is expected to work end to end so the developer can compare the intended architecture against what has already been implemented. It focuses on business flow, module ownership, evidence requirements, reconciliation, approval, QuickBooks handoff, and implementation guardrails.</w:t>
            </w:r>
          </w:p>
        </w:tc>
      </w:tr>
    </w:tbl>
    <w:p>
      <w:pPr>
        <w:spacing w:after="20"/>
      </w:pPr>
    </w:p>
    <w:tbl>
      <w:tblPr>
        <w:tblStyle w:val="TableGrid"/>
        <w:tblW w:type="auto" w:w="0"/>
        <w:tblLook w:firstColumn="1" w:firstRow="1" w:lastColumn="0" w:lastRow="0" w:noHBand="0" w:noVBand="1" w:val="04A0"/>
      </w:tblPr>
      <w:tblGrid>
        <w:gridCol w:w="10224"/>
      </w:tblGrid>
      <w:tr>
        <w:trPr>
          <w:cantSplit/>
        </w:trPr>
        <w:tc>
          <w:tcPr>
            <w:tcW w:type="dxa" w:w="10224"/>
            <w:shd w:fill="D9EAF7"/>
            <w:tcMar>
              <w:top w:w="100" w:type="dxa"/>
              <w:start w:w="110" w:type="dxa"/>
              <w:bottom w:w="100" w:type="dxa"/>
              <w:end w:w="110" w:type="dxa"/>
            </w:tcMar>
          </w:tcPr>
          <w:p>
            <w:pPr>
              <w:spacing w:after="0"/>
            </w:pPr>
            <w:r>
              <w:rPr>
                <w:b/>
                <w:color w:val="17365D"/>
                <w:sz w:val="21"/>
              </w:rPr>
              <w:t>Core Rule</w:t>
              <w:br/>
            </w:r>
            <w:r>
              <w:rPr>
                <w:sz w:val="20"/>
              </w:rPr>
              <w:t>Invoice Management does not decide whether an order was delivered, does not decide whether a refund occurred, and does not calculate pricing or commission. It consumes authoritative evidence from the owning modules, creates immutable invoice records from that evidence, manages review/approval/reconciliation, and prepares the approved accounting handoff.</w:t>
            </w:r>
          </w:p>
        </w:tc>
      </w:tr>
    </w:tbl>
    <w:p>
      <w:pPr>
        <w:spacing w:after="20"/>
      </w:pPr>
    </w:p>
    <w:p>
      <w:pPr>
        <w:pStyle w:val="Heading1"/>
      </w:pPr>
      <w:r>
        <w:t>1. End-to-End Flow at a Glance</w:t>
      </w:r>
    </w:p>
    <w:p>
      <w:pPr>
        <w:spacing w:after="20" w:before="0"/>
        <w:jc w:val="center"/>
      </w:pPr>
      <w:r>
        <w:rPr>
          <w:b/>
          <w:color w:val="1F4E78"/>
          <w:sz w:val="19"/>
        </w:rPr>
        <w:t>Invoice Period / Run</w:t>
      </w:r>
    </w:p>
    <w:p>
      <w:pPr>
        <w:spacing w:after="20" w:before="0"/>
        <w:jc w:val="center"/>
      </w:pPr>
      <w:r>
        <w:rPr>
          <w:b/>
          <w:color w:val="1F4E78"/>
          <w:sz w:val="19"/>
        </w:rPr>
        <w:t>↓</w:t>
      </w:r>
    </w:p>
    <w:p>
      <w:pPr>
        <w:spacing w:after="20" w:before="0"/>
        <w:jc w:val="center"/>
      </w:pPr>
      <w:r>
        <w:rPr>
          <w:b/>
          <w:color w:val="1F4E78"/>
          <w:sz w:val="19"/>
        </w:rPr>
        <w:t>Collect Order + Delivery + Refund + Pricing Evidence</w:t>
      </w:r>
    </w:p>
    <w:p>
      <w:pPr>
        <w:spacing w:after="20" w:before="0"/>
        <w:jc w:val="center"/>
      </w:pPr>
      <w:r>
        <w:rPr>
          <w:b/>
          <w:color w:val="1F4E78"/>
          <w:sz w:val="19"/>
        </w:rPr>
        <w:t>↓</w:t>
      </w:r>
    </w:p>
    <w:p>
      <w:pPr>
        <w:spacing w:after="20" w:before="0"/>
        <w:jc w:val="center"/>
      </w:pPr>
      <w:r>
        <w:rPr>
          <w:b/>
          <w:color w:val="1F4E78"/>
          <w:sz w:val="19"/>
        </w:rPr>
        <w:t>Determine Eligible Order Lines</w:t>
      </w:r>
    </w:p>
    <w:p>
      <w:pPr>
        <w:spacing w:after="20" w:before="0"/>
        <w:jc w:val="center"/>
      </w:pPr>
      <w:r>
        <w:rPr>
          <w:b/>
          <w:color w:val="1F4E78"/>
          <w:sz w:val="19"/>
        </w:rPr>
        <w:t>↓</w:t>
      </w:r>
    </w:p>
    <w:p>
      <w:pPr>
        <w:spacing w:after="20" w:before="0"/>
        <w:jc w:val="center"/>
      </w:pPr>
      <w:r>
        <w:rPr>
          <w:b/>
          <w:color w:val="1F4E78"/>
          <w:sz w:val="19"/>
        </w:rPr>
        <w:t>Create Immutable Invoice Lines + Adjustments</w:t>
      </w:r>
    </w:p>
    <w:p>
      <w:pPr>
        <w:spacing w:after="20" w:before="0"/>
        <w:jc w:val="center"/>
      </w:pPr>
      <w:r>
        <w:rPr>
          <w:b/>
          <w:color w:val="1F4E78"/>
          <w:sz w:val="19"/>
        </w:rPr>
        <w:t>↓</w:t>
      </w:r>
    </w:p>
    <w:p>
      <w:pPr>
        <w:spacing w:after="20" w:before="0"/>
        <w:jc w:val="center"/>
      </w:pPr>
      <w:r>
        <w:rPr>
          <w:b/>
          <w:color w:val="1F4E78"/>
          <w:sz w:val="19"/>
        </w:rPr>
        <w:t>Vendor Reconciliation Comparison</w:t>
      </w:r>
    </w:p>
    <w:p>
      <w:pPr>
        <w:spacing w:after="20" w:before="0"/>
        <w:jc w:val="center"/>
      </w:pPr>
      <w:r>
        <w:rPr>
          <w:b/>
          <w:color w:val="1F4E78"/>
          <w:sz w:val="19"/>
        </w:rPr>
        <w:t>↓</w:t>
      </w:r>
    </w:p>
    <w:p>
      <w:pPr>
        <w:spacing w:after="20" w:before="0"/>
        <w:jc w:val="center"/>
      </w:pPr>
      <w:r>
        <w:rPr>
          <w:b/>
          <w:color w:val="1F4E78"/>
          <w:sz w:val="19"/>
        </w:rPr>
        <w:t>Invoice Exceptions / Review Required</w:t>
      </w:r>
    </w:p>
    <w:p>
      <w:pPr>
        <w:spacing w:after="20" w:before="0"/>
        <w:jc w:val="center"/>
      </w:pPr>
      <w:r>
        <w:rPr>
          <w:b/>
          <w:color w:val="1F4E78"/>
          <w:sz w:val="19"/>
        </w:rPr>
        <w:t>↓</w:t>
      </w:r>
    </w:p>
    <w:p>
      <w:pPr>
        <w:spacing w:after="20" w:before="0"/>
        <w:jc w:val="center"/>
      </w:pPr>
      <w:r>
        <w:rPr>
          <w:b/>
          <w:color w:val="1F4E78"/>
          <w:sz w:val="19"/>
        </w:rPr>
        <w:t>Generate Invoice Report / Invoice</w:t>
      </w:r>
    </w:p>
    <w:p>
      <w:pPr>
        <w:spacing w:after="20" w:before="0"/>
        <w:jc w:val="center"/>
      </w:pPr>
      <w:r>
        <w:rPr>
          <w:b/>
          <w:color w:val="1F4E78"/>
          <w:sz w:val="19"/>
        </w:rPr>
        <w:t>↓</w:t>
      </w:r>
    </w:p>
    <w:p>
      <w:pPr>
        <w:spacing w:after="20" w:before="0"/>
        <w:jc w:val="center"/>
      </w:pPr>
      <w:r>
        <w:rPr>
          <w:b/>
          <w:color w:val="1F4E78"/>
          <w:sz w:val="19"/>
        </w:rPr>
        <w:t>CIXCI Admin Review and Approval</w:t>
      </w:r>
    </w:p>
    <w:p>
      <w:pPr>
        <w:spacing w:after="20" w:before="0"/>
        <w:jc w:val="center"/>
      </w:pPr>
      <w:r>
        <w:rPr>
          <w:b/>
          <w:color w:val="1F4E78"/>
          <w:sz w:val="19"/>
        </w:rPr>
        <w:t>↓</w:t>
      </w:r>
    </w:p>
    <w:p>
      <w:pPr>
        <w:spacing w:after="20" w:before="0"/>
        <w:jc w:val="center"/>
      </w:pPr>
      <w:r>
        <w:rPr>
          <w:b/>
          <w:color w:val="1F4E78"/>
          <w:sz w:val="19"/>
        </w:rPr>
        <w:t>Vendor Payable Readiness / Buyer Invoice Readiness</w:t>
      </w:r>
    </w:p>
    <w:p>
      <w:pPr>
        <w:spacing w:after="20" w:before="0"/>
        <w:jc w:val="center"/>
      </w:pPr>
      <w:r>
        <w:rPr>
          <w:b/>
          <w:color w:val="1F4E78"/>
          <w:sz w:val="19"/>
        </w:rPr>
        <w:t>↓</w:t>
      </w:r>
    </w:p>
    <w:p>
      <w:pPr>
        <w:spacing w:after="20" w:before="0"/>
        <w:jc w:val="center"/>
      </w:pPr>
      <w:r>
        <w:rPr>
          <w:b/>
          <w:color w:val="1F4E78"/>
          <w:sz w:val="19"/>
        </w:rPr>
        <w:t>QuickBooks Handoff Request</w:t>
      </w:r>
    </w:p>
    <w:p>
      <w:pPr>
        <w:spacing w:after="20" w:before="0"/>
        <w:jc w:val="center"/>
      </w:pPr>
      <w:r>
        <w:rPr>
          <w:b/>
          <w:color w:val="1F4E78"/>
          <w:sz w:val="19"/>
        </w:rPr>
        <w:t>↓</w:t>
      </w:r>
    </w:p>
    <w:p>
      <w:pPr>
        <w:spacing w:after="20" w:before="0"/>
        <w:jc w:val="center"/>
      </w:pPr>
      <w:r>
        <w:rPr>
          <w:b/>
          <w:color w:val="1F4E78"/>
          <w:sz w:val="19"/>
        </w:rPr>
        <w:t>Integration Management → QuickBooks (when connected)</w:t>
      </w:r>
    </w:p>
    <w:p>
      <w:pPr>
        <w:spacing w:after="20" w:before="0"/>
        <w:jc w:val="center"/>
      </w:pPr>
      <w:r>
        <w:rPr>
          <w:b/>
          <w:color w:val="1F4E78"/>
          <w:sz w:val="19"/>
        </w:rPr>
        <w:t>↓</w:t>
      </w:r>
    </w:p>
    <w:p>
      <w:pPr>
        <w:spacing w:after="20" w:before="0"/>
        <w:jc w:val="center"/>
      </w:pPr>
      <w:r>
        <w:rPr>
          <w:b/>
          <w:color w:val="1F4E78"/>
          <w:sz w:val="19"/>
        </w:rPr>
        <w:t>External Sync / Payment Status Reference Only</w:t>
      </w:r>
    </w:p>
    <w:p>
      <w:pPr>
        <w:pStyle w:val="Heading1"/>
      </w:pPr>
      <w:r>
        <w:t>2. Module Ownership and Boundaries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160"/>
            <w:shd w:fill="17365D"/>
            <w:vAlign w:val="center"/>
            <w:tcMar>
              <w:top w:w="70" w:type="dxa"/>
              <w:start w:w="90" w:type="dxa"/>
              <w:bottom w:w="70" w:type="dxa"/>
              <w:end w:w="90" w:type="dxa"/>
            </w:tcMar>
          </w:tcPr>
          <w:p>
            <w:pPr>
              <w:spacing w:after="0"/>
            </w:pPr>
            <w:r>
              <w:rPr>
                <w:b/>
                <w:color w:val="FFFFFF"/>
                <w:sz w:val="18"/>
              </w:rPr>
              <w:t>Module</w:t>
            </w:r>
          </w:p>
        </w:tc>
        <w:tc>
          <w:tcPr>
            <w:tcW w:type="dxa" w:w="4464"/>
            <w:shd w:fill="17365D"/>
            <w:vAlign w:val="center"/>
            <w:tcMar>
              <w:top w:w="70" w:type="dxa"/>
              <w:start w:w="90" w:type="dxa"/>
              <w:bottom w:w="70" w:type="dxa"/>
              <w:end w:w="90" w:type="dxa"/>
            </w:tcMar>
          </w:tcPr>
          <w:p>
            <w:pPr>
              <w:spacing w:after="0"/>
            </w:pPr>
            <w:r>
              <w:rPr>
                <w:b/>
                <w:color w:val="FFFFFF"/>
                <w:sz w:val="18"/>
              </w:rPr>
              <w:t>Owns for Invoice Flow</w:t>
            </w:r>
          </w:p>
        </w:tc>
        <w:tc>
          <w:tcPr>
            <w:tcW w:type="dxa" w:w="4464"/>
            <w:shd w:fill="17365D"/>
            <w:vAlign w:val="center"/>
            <w:tcMar>
              <w:top w:w="70" w:type="dxa"/>
              <w:start w:w="90" w:type="dxa"/>
              <w:bottom w:w="70" w:type="dxa"/>
              <w:end w:w="90" w:type="dxa"/>
            </w:tcMar>
          </w:tcPr>
          <w:p>
            <w:pPr>
              <w:spacing w:after="0"/>
            </w:pPr>
            <w:r>
              <w:rPr>
                <w:b/>
                <w:color w:val="FFFFFF"/>
                <w:sz w:val="18"/>
              </w:rPr>
              <w:t>Invoice Management Must Not Do</w:t>
            </w:r>
          </w:p>
        </w:tc>
      </w:tr>
      <w:tr>
        <w:trPr>
          <w:cantSplit/>
        </w:trPr>
        <w:tc>
          <w:tcPr>
            <w:tcW w:type="dxa" w:w="2160"/>
            <w:vAlign w:val="top"/>
            <w:tcMar>
              <w:top w:w="70" w:type="dxa"/>
              <w:start w:w="90" w:type="dxa"/>
              <w:bottom w:w="70" w:type="dxa"/>
              <w:end w:w="90" w:type="dxa"/>
            </w:tcMar>
          </w:tcPr>
          <w:p>
            <w:pPr>
              <w:spacing w:after="0"/>
            </w:pPr>
            <w:r>
              <w:rPr>
                <w:sz w:val="18"/>
              </w:rPr>
              <w:t>Order Routing</w:t>
            </w:r>
          </w:p>
        </w:tc>
        <w:tc>
          <w:tcPr>
            <w:tcW w:type="dxa" w:w="4464"/>
            <w:vAlign w:val="top"/>
            <w:tcMar>
              <w:top w:w="70" w:type="dxa"/>
              <w:start w:w="90" w:type="dxa"/>
              <w:bottom w:w="70" w:type="dxa"/>
              <w:end w:w="90" w:type="dxa"/>
            </w:tcMar>
          </w:tcPr>
          <w:p>
            <w:pPr>
              <w:spacing w:after="0"/>
            </w:pPr>
            <w:r>
              <w:rPr>
                <w:sz w:val="18"/>
              </w:rPr>
              <w:t>Order, suborder, source order line truth.</w:t>
            </w:r>
          </w:p>
        </w:tc>
        <w:tc>
          <w:tcPr>
            <w:tcW w:type="dxa" w:w="4464"/>
            <w:vAlign w:val="top"/>
            <w:tcMar>
              <w:top w:w="70" w:type="dxa"/>
              <w:start w:w="90" w:type="dxa"/>
              <w:bottom w:w="70" w:type="dxa"/>
              <w:end w:w="90" w:type="dxa"/>
            </w:tcMar>
          </w:tcPr>
          <w:p>
            <w:pPr>
              <w:spacing w:after="0"/>
            </w:pPr>
            <w:r>
              <w:rPr>
                <w:sz w:val="18"/>
              </w:rPr>
              <w:t>Change order truth or infer delivery from order status.</w:t>
            </w:r>
          </w:p>
        </w:tc>
      </w:tr>
      <w:tr>
        <w:trPr>
          <w:cantSplit/>
        </w:trPr>
        <w:tc>
          <w:tcPr>
            <w:tcW w:type="dxa" w:w="2160"/>
            <w:vAlign w:val="top"/>
            <w:tcMar>
              <w:top w:w="70" w:type="dxa"/>
              <w:start w:w="90" w:type="dxa"/>
              <w:bottom w:w="70" w:type="dxa"/>
              <w:end w:w="90" w:type="dxa"/>
            </w:tcMar>
          </w:tcPr>
          <w:p>
            <w:pPr>
              <w:spacing w:after="0"/>
            </w:pPr>
            <w:r>
              <w:rPr>
                <w:sz w:val="18"/>
              </w:rPr>
              <w:t>Fulfillment / Returns</w:t>
            </w:r>
          </w:p>
        </w:tc>
        <w:tc>
          <w:tcPr>
            <w:tcW w:type="dxa" w:w="4464"/>
            <w:vAlign w:val="top"/>
            <w:tcMar>
              <w:top w:w="70" w:type="dxa"/>
              <w:start w:w="90" w:type="dxa"/>
              <w:bottom w:w="70" w:type="dxa"/>
              <w:end w:w="90" w:type="dxa"/>
            </w:tcMar>
          </w:tcPr>
          <w:p>
            <w:pPr>
              <w:spacing w:after="0"/>
            </w:pPr>
            <w:r>
              <w:rPr>
                <w:sz w:val="18"/>
              </w:rPr>
              <w:t>Accepted delivery evidence; return/refund/rejection outcome truth.</w:t>
            </w:r>
          </w:p>
        </w:tc>
        <w:tc>
          <w:tcPr>
            <w:tcW w:type="dxa" w:w="4464"/>
            <w:vAlign w:val="top"/>
            <w:tcMar>
              <w:top w:w="70" w:type="dxa"/>
              <w:start w:w="90" w:type="dxa"/>
              <w:bottom w:w="70" w:type="dxa"/>
              <w:end w:w="90" w:type="dxa"/>
            </w:tcMar>
          </w:tcPr>
          <w:p>
            <w:pPr>
              <w:spacing w:after="0"/>
            </w:pPr>
            <w:r>
              <w:rPr>
                <w:sz w:val="18"/>
              </w:rPr>
              <w:t>Create delivery/refund truth itself.</w:t>
            </w:r>
          </w:p>
        </w:tc>
      </w:tr>
      <w:tr>
        <w:trPr>
          <w:cantSplit/>
        </w:trPr>
        <w:tc>
          <w:tcPr>
            <w:tcW w:type="dxa" w:w="2160"/>
            <w:vAlign w:val="top"/>
            <w:tcMar>
              <w:top w:w="70" w:type="dxa"/>
              <w:start w:w="90" w:type="dxa"/>
              <w:bottom w:w="70" w:type="dxa"/>
              <w:end w:w="90" w:type="dxa"/>
            </w:tcMar>
          </w:tcPr>
          <w:p>
            <w:pPr>
              <w:spacing w:after="0"/>
            </w:pPr>
            <w:r>
              <w:rPr>
                <w:sz w:val="18"/>
              </w:rPr>
              <w:t>Pricing</w:t>
            </w:r>
          </w:p>
        </w:tc>
        <w:tc>
          <w:tcPr>
            <w:tcW w:type="dxa" w:w="4464"/>
            <w:vAlign w:val="top"/>
            <w:tcMar>
              <w:top w:w="70" w:type="dxa"/>
              <w:start w:w="90" w:type="dxa"/>
              <w:bottom w:w="70" w:type="dxa"/>
              <w:end w:w="90" w:type="dxa"/>
            </w:tcMar>
          </w:tcPr>
          <w:p>
            <w:pPr>
              <w:spacing w:after="0"/>
            </w:pPr>
            <w:r>
              <w:rPr>
                <w:sz w:val="18"/>
              </w:rPr>
              <w:t>Pricing snapshots, commission snapshots, adjustment amounts and pricing evidence.</w:t>
            </w:r>
          </w:p>
        </w:tc>
        <w:tc>
          <w:tcPr>
            <w:tcW w:type="dxa" w:w="4464"/>
            <w:vAlign w:val="top"/>
            <w:tcMar>
              <w:top w:w="70" w:type="dxa"/>
              <w:start w:w="90" w:type="dxa"/>
              <w:bottom w:w="70" w:type="dxa"/>
              <w:end w:w="90" w:type="dxa"/>
            </w:tcMar>
          </w:tcPr>
          <w:p>
            <w:pPr>
              <w:spacing w:after="0"/>
            </w:pPr>
            <w:r>
              <w:rPr>
                <w:sz w:val="18"/>
              </w:rPr>
              <w:t>Recalculate price, commission, refund amount, or commercial rules.</w:t>
            </w:r>
          </w:p>
        </w:tc>
      </w:tr>
      <w:tr>
        <w:trPr>
          <w:cantSplit/>
        </w:trPr>
        <w:tc>
          <w:tcPr>
            <w:tcW w:type="dxa" w:w="2160"/>
            <w:vAlign w:val="top"/>
            <w:tcMar>
              <w:top w:w="70" w:type="dxa"/>
              <w:start w:w="90" w:type="dxa"/>
              <w:bottom w:w="70" w:type="dxa"/>
              <w:end w:w="90" w:type="dxa"/>
            </w:tcMar>
          </w:tcPr>
          <w:p>
            <w:pPr>
              <w:spacing w:after="0"/>
            </w:pPr>
            <w:r>
              <w:rPr>
                <w:sz w:val="18"/>
              </w:rPr>
              <w:t>Tenant Company</w:t>
            </w:r>
          </w:p>
        </w:tc>
        <w:tc>
          <w:tcPr>
            <w:tcW w:type="dxa" w:w="4464"/>
            <w:vAlign w:val="top"/>
            <w:tcMar>
              <w:top w:w="70" w:type="dxa"/>
              <w:start w:w="90" w:type="dxa"/>
              <w:bottom w:w="70" w:type="dxa"/>
              <w:end w:w="90" w:type="dxa"/>
            </w:tcMar>
          </w:tcPr>
          <w:p>
            <w:pPr>
              <w:spacing w:after="0"/>
            </w:pPr>
            <w:r>
              <w:rPr>
                <w:sz w:val="18"/>
              </w:rPr>
              <w:t>Company/entity scope, authority, eligibility, check_access.</w:t>
            </w:r>
          </w:p>
        </w:tc>
        <w:tc>
          <w:tcPr>
            <w:tcW w:type="dxa" w:w="4464"/>
            <w:vAlign w:val="top"/>
            <w:tcMar>
              <w:top w:w="70" w:type="dxa"/>
              <w:start w:w="90" w:type="dxa"/>
              <w:bottom w:w="70" w:type="dxa"/>
              <w:end w:w="90" w:type="dxa"/>
            </w:tcMar>
          </w:tcPr>
          <w:p>
            <w:pPr>
              <w:spacing w:after="0"/>
            </w:pPr>
            <w:r>
              <w:rPr>
                <w:sz w:val="18"/>
              </w:rPr>
              <w:t>Create a parallel role/permission system.</w:t>
            </w:r>
          </w:p>
        </w:tc>
      </w:tr>
      <w:tr>
        <w:trPr>
          <w:cantSplit/>
        </w:trPr>
        <w:tc>
          <w:tcPr>
            <w:tcW w:type="dxa" w:w="2160"/>
            <w:vAlign w:val="top"/>
            <w:tcMar>
              <w:top w:w="70" w:type="dxa"/>
              <w:start w:w="90" w:type="dxa"/>
              <w:bottom w:w="70" w:type="dxa"/>
              <w:end w:w="90" w:type="dxa"/>
            </w:tcMar>
          </w:tcPr>
          <w:p>
            <w:pPr>
              <w:spacing w:after="0"/>
            </w:pPr>
            <w:r>
              <w:rPr>
                <w:sz w:val="18"/>
              </w:rPr>
              <w:t>Invoice Management</w:t>
            </w:r>
          </w:p>
        </w:tc>
        <w:tc>
          <w:tcPr>
            <w:tcW w:type="dxa" w:w="4464"/>
            <w:vAlign w:val="top"/>
            <w:tcMar>
              <w:top w:w="70" w:type="dxa"/>
              <w:start w:w="90" w:type="dxa"/>
              <w:bottom w:w="70" w:type="dxa"/>
              <w:end w:w="90" w:type="dxa"/>
            </w:tcMar>
          </w:tcPr>
          <w:p>
            <w:pPr>
              <w:spacing w:after="0"/>
            </w:pPr>
            <w:r>
              <w:rPr>
                <w:sz w:val="18"/>
              </w:rPr>
              <w:t>Invoice runs, invoices, lines, adjustments, exceptions, reconciliation records, approval/readiness, QuickBooks handoff references.</w:t>
            </w:r>
          </w:p>
        </w:tc>
        <w:tc>
          <w:tcPr>
            <w:tcW w:type="dxa" w:w="4464"/>
            <w:vAlign w:val="top"/>
            <w:tcMar>
              <w:top w:w="70" w:type="dxa"/>
              <w:start w:w="90" w:type="dxa"/>
              <w:bottom w:w="70" w:type="dxa"/>
              <w:end w:w="90" w:type="dxa"/>
            </w:tcMar>
          </w:tcPr>
          <w:p>
            <w:pPr>
              <w:spacing w:after="0"/>
            </w:pPr>
            <w:r>
              <w:rPr>
                <w:sz w:val="18"/>
              </w:rPr>
              <w:t>Own source order, delivery/refund truth, pricing truth, payment execution, tax, or settlement.</w:t>
            </w:r>
          </w:p>
        </w:tc>
      </w:tr>
      <w:tr>
        <w:trPr>
          <w:cantSplit/>
        </w:trPr>
        <w:tc>
          <w:tcPr>
            <w:tcW w:type="dxa" w:w="2160"/>
            <w:vAlign w:val="top"/>
            <w:tcMar>
              <w:top w:w="70" w:type="dxa"/>
              <w:start w:w="90" w:type="dxa"/>
              <w:bottom w:w="70" w:type="dxa"/>
              <w:end w:w="90" w:type="dxa"/>
            </w:tcMar>
          </w:tcPr>
          <w:p>
            <w:pPr>
              <w:spacing w:after="0"/>
            </w:pPr>
            <w:r>
              <w:rPr>
                <w:sz w:val="18"/>
              </w:rPr>
              <w:t>Integration Management</w:t>
            </w:r>
          </w:p>
        </w:tc>
        <w:tc>
          <w:tcPr>
            <w:tcW w:type="dxa" w:w="4464"/>
            <w:vAlign w:val="top"/>
            <w:tcMar>
              <w:top w:w="70" w:type="dxa"/>
              <w:start w:w="90" w:type="dxa"/>
              <w:bottom w:w="70" w:type="dxa"/>
              <w:end w:w="90" w:type="dxa"/>
            </w:tcMar>
          </w:tcPr>
          <w:p>
            <w:pPr>
              <w:spacing w:after="0"/>
            </w:pPr>
            <w:r>
              <w:rPr>
                <w:sz w:val="18"/>
              </w:rPr>
              <w:t>External QuickBooks transport, provider response, retry, sync outcome.</w:t>
            </w:r>
          </w:p>
        </w:tc>
        <w:tc>
          <w:tcPr>
            <w:tcW w:type="dxa" w:w="4464"/>
            <w:vAlign w:val="top"/>
            <w:tcMar>
              <w:top w:w="70" w:type="dxa"/>
              <w:start w:w="90" w:type="dxa"/>
              <w:bottom w:w="70" w:type="dxa"/>
              <w:end w:w="90" w:type="dxa"/>
            </w:tcMar>
          </w:tcPr>
          <w:p>
            <w:pPr>
              <w:spacing w:after="0"/>
            </w:pPr>
            <w:r>
              <w:rPr>
                <w:sz w:val="18"/>
              </w:rPr>
              <w:t>Decide invoice business meaning or pricing correctness.</w:t>
            </w:r>
          </w:p>
        </w:tc>
      </w:tr>
      <w:tr>
        <w:trPr>
          <w:cantSplit/>
        </w:trPr>
        <w:tc>
          <w:tcPr>
            <w:tcW w:type="dxa" w:w="2160"/>
            <w:vAlign w:val="top"/>
            <w:tcMar>
              <w:top w:w="70" w:type="dxa"/>
              <w:start w:w="90" w:type="dxa"/>
              <w:bottom w:w="70" w:type="dxa"/>
              <w:end w:w="90" w:type="dxa"/>
            </w:tcMar>
          </w:tcPr>
          <w:p>
            <w:pPr>
              <w:spacing w:after="0"/>
            </w:pPr>
            <w:r>
              <w:rPr>
                <w:sz w:val="18"/>
              </w:rPr>
              <w:t>Logs &amp; Audit</w:t>
            </w:r>
          </w:p>
        </w:tc>
        <w:tc>
          <w:tcPr>
            <w:tcW w:type="dxa" w:w="4464"/>
            <w:vAlign w:val="top"/>
            <w:tcMar>
              <w:top w:w="70" w:type="dxa"/>
              <w:start w:w="90" w:type="dxa"/>
              <w:bottom w:w="70" w:type="dxa"/>
              <w:end w:w="90" w:type="dxa"/>
            </w:tcMar>
          </w:tcPr>
          <w:p>
            <w:pPr>
              <w:spacing w:after="0"/>
            </w:pPr>
            <w:r>
              <w:rPr>
                <w:sz w:val="18"/>
              </w:rPr>
              <w:t>Immutable evidence/file tracking and audit history.</w:t>
            </w:r>
          </w:p>
        </w:tc>
        <w:tc>
          <w:tcPr>
            <w:tcW w:type="dxa" w:w="4464"/>
            <w:vAlign w:val="top"/>
            <w:tcMar>
              <w:top w:w="70" w:type="dxa"/>
              <w:start w:w="90" w:type="dxa"/>
              <w:bottom w:w="70" w:type="dxa"/>
              <w:end w:w="90" w:type="dxa"/>
            </w:tcMar>
          </w:tcPr>
          <w:p>
            <w:pPr>
              <w:spacing w:after="0"/>
            </w:pPr>
            <w:r>
              <w:rPr>
                <w:sz w:val="18"/>
              </w:rPr>
              <w:t>Become the Invoice lifecycle source of truth.</w:t>
            </w:r>
          </w:p>
        </w:tc>
      </w:tr>
      <w:tr>
        <w:trPr>
          <w:cantSplit/>
        </w:trPr>
        <w:tc>
          <w:tcPr>
            <w:tcW w:type="dxa" w:w="2160"/>
            <w:vAlign w:val="top"/>
            <w:tcMar>
              <w:top w:w="70" w:type="dxa"/>
              <w:start w:w="90" w:type="dxa"/>
              <w:bottom w:w="70" w:type="dxa"/>
              <w:end w:w="90" w:type="dxa"/>
            </w:tcMar>
          </w:tcPr>
          <w:p>
            <w:pPr>
              <w:spacing w:after="0"/>
            </w:pPr>
            <w:r>
              <w:rPr>
                <w:sz w:val="18"/>
              </w:rPr>
              <w:t>QuickBooks</w:t>
            </w:r>
          </w:p>
        </w:tc>
        <w:tc>
          <w:tcPr>
            <w:tcW w:type="dxa" w:w="4464"/>
            <w:vAlign w:val="top"/>
            <w:tcMar>
              <w:top w:w="70" w:type="dxa"/>
              <w:start w:w="90" w:type="dxa"/>
              <w:bottom w:w="70" w:type="dxa"/>
              <w:end w:w="90" w:type="dxa"/>
            </w:tcMar>
          </w:tcPr>
          <w:p>
            <w:pPr>
              <w:spacing w:after="0"/>
            </w:pPr>
            <w:r>
              <w:rPr>
                <w:sz w:val="18"/>
              </w:rPr>
              <w:t>External ledger, bills/invoices, payment and tax/accounting state.</w:t>
            </w:r>
          </w:p>
        </w:tc>
        <w:tc>
          <w:tcPr>
            <w:tcW w:type="dxa" w:w="4464"/>
            <w:vAlign w:val="top"/>
            <w:tcMar>
              <w:top w:w="70" w:type="dxa"/>
              <w:start w:w="90" w:type="dxa"/>
              <w:bottom w:w="70" w:type="dxa"/>
              <w:end w:w="90" w:type="dxa"/>
            </w:tcMar>
          </w:tcPr>
          <w:p>
            <w:pPr>
              <w:spacing w:after="0"/>
            </w:pPr>
            <w:r>
              <w:rPr>
                <w:sz w:val="18"/>
              </w:rPr>
              <w:t>Become CIXCI operational source truth.</w:t>
            </w:r>
          </w:p>
        </w:tc>
      </w:tr>
    </w:tbl>
    <w:p>
      <w:pPr>
        <w:spacing w:after="20"/>
      </w:pPr>
    </w:p>
    <w:p>
      <w:pPr>
        <w:pStyle w:val="Heading1"/>
      </w:pPr>
      <w:r>
        <w:t>3. Start the Invoice Run</w:t>
      </w:r>
    </w:p>
    <w:p>
      <w:r>
        <w:t>For the current implementation, an authorized CIXCI Admin explicitly initiates an Invoice Run for the applicable billing period. The architecture should expose a clean entry point that a scheduler may call later, but a cron/scheduler is not required as part of the current Invoice Management core.</w:t>
      </w:r>
    </w:p>
    <w:p>
      <w:pPr>
        <w:spacing w:after="40"/>
      </w:pPr>
      <w:r/>
      <w:r>
        <w:t>1.  Authorized CIXCI Admin selects or establishes the Invoice Period.</w:t>
      </w:r>
    </w:p>
    <w:p>
      <w:pPr>
        <w:spacing w:after="40"/>
      </w:pPr>
      <w:r/>
      <w:r>
        <w:t>2.  System establishes counterparty/company scope and billing-profile references where applicable.</w:t>
      </w:r>
    </w:p>
    <w:p>
      <w:pPr>
        <w:spacing w:after="40"/>
      </w:pPr>
      <w:r/>
      <w:r>
        <w:t>3.  System creates the Invoice Run and begins source collection.</w:t>
      </w:r>
    </w:p>
    <w:p>
      <w:pPr>
        <w:spacing w:after="40"/>
      </w:pPr>
      <w:r/>
      <w:r>
        <w:t>4.  A concurrent duplicate run for the same period and counterparty scope must not create duplicate financial output.</w:t>
      </w:r>
    </w:p>
    <w:p>
      <w:pPr>
        <w:spacing w:after="40"/>
      </w:pPr>
      <w:r/>
      <w:r>
        <w:t>5.  All authority checks route through Tenant Company check_access.</w:t>
      </w:r>
    </w:p>
    <w:tbl>
      <w:tblPr>
        <w:tblStyle w:val="TableGrid"/>
        <w:tblW w:type="auto" w:w="0"/>
        <w:tblLook w:firstColumn="1" w:firstRow="1" w:lastColumn="0" w:lastRow="0" w:noHBand="0" w:noVBand="1" w:val="04A0"/>
      </w:tblPr>
      <w:tblGrid>
        <w:gridCol w:w="10224"/>
      </w:tblGrid>
      <w:tr>
        <w:trPr>
          <w:cantSplit/>
        </w:trPr>
        <w:tc>
          <w:tcPr>
            <w:tcW w:type="dxa" w:w="10224"/>
            <w:shd w:fill="FFF2CC"/>
            <w:tcMar>
              <w:top w:w="100" w:type="dxa"/>
              <w:start w:w="110" w:type="dxa"/>
              <w:bottom w:w="100" w:type="dxa"/>
              <w:end w:w="110" w:type="dxa"/>
            </w:tcMar>
          </w:tcPr>
          <w:p>
            <w:pPr>
              <w:spacing w:after="0"/>
            </w:pPr>
            <w:r>
              <w:rPr>
                <w:b/>
                <w:color w:val="17365D"/>
                <w:sz w:val="21"/>
              </w:rPr>
              <w:t>Current Business Policy</w:t>
              <w:br/>
            </w:r>
            <w:r>
              <w:rPr>
                <w:sz w:val="20"/>
              </w:rPr>
              <w:t>Monthly is the configured period model today. Monthly reporting and invoicing use the approved date range and Eastern Time convention. NET15 is a business payment term; it should be represented as configuration/accounting terms, not used by Invoice Management to execute payment.</w:t>
            </w:r>
          </w:p>
        </w:tc>
      </w:tr>
    </w:tbl>
    <w:p>
      <w:pPr>
        <w:spacing w:after="20"/>
      </w:pPr>
    </w:p>
    <w:p>
      <w:pPr>
        <w:pStyle w:val="Heading1"/>
      </w:pPr>
      <w:r>
        <w:t>4. Required Lifecycle Statuses</w:t>
      </w:r>
    </w:p>
    <w:p>
      <w:pPr>
        <w:pStyle w:val="Heading2"/>
      </w:pPr>
      <w:r>
        <w:t>4.1 Invoice Run Statuses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864"/>
            <w:shd w:fill="17365D"/>
            <w:vAlign w:val="center"/>
            <w:tcMar>
              <w:top w:w="70" w:type="dxa"/>
              <w:start w:w="90" w:type="dxa"/>
              <w:bottom w:w="70" w:type="dxa"/>
              <w:end w:w="90" w:type="dxa"/>
            </w:tcMar>
          </w:tcPr>
          <w:p>
            <w:pPr>
              <w:spacing w:after="0"/>
            </w:pPr>
            <w:r>
              <w:rPr>
                <w:b/>
                <w:color w:val="FFFFFF"/>
                <w:sz w:val="18"/>
              </w:rPr>
              <w:t>#</w:t>
            </w:r>
          </w:p>
        </w:tc>
        <w:tc>
          <w:tcPr>
            <w:tcW w:type="dxa" w:w="9648"/>
            <w:shd w:fill="17365D"/>
            <w:vAlign w:val="center"/>
            <w:tcMar>
              <w:top w:w="70" w:type="dxa"/>
              <w:start w:w="90" w:type="dxa"/>
              <w:bottom w:w="70" w:type="dxa"/>
              <w:end w:w="90" w:type="dxa"/>
            </w:tcMar>
          </w:tcPr>
          <w:p>
            <w:pPr>
              <w:spacing w:after="0"/>
            </w:pPr>
            <w:r>
              <w:rPr>
                <w:b/>
                <w:color w:val="FFFFFF"/>
                <w:sz w:val="18"/>
              </w:rPr>
              <w:t>Status</w:t>
            </w:r>
          </w:p>
        </w:tc>
      </w:tr>
      <w:tr>
        <w:trPr>
          <w:cantSplit/>
        </w:trPr>
        <w:tc>
          <w:tcPr>
            <w:tcW w:type="dxa" w:w="864"/>
            <w:vAlign w:val="top"/>
            <w:tcMar>
              <w:top w:w="70" w:type="dxa"/>
              <w:start w:w="90" w:type="dxa"/>
              <w:bottom w:w="70" w:type="dxa"/>
              <w:end w:w="90" w:type="dxa"/>
            </w:tcMar>
          </w:tcPr>
          <w:p>
            <w:pPr>
              <w:spacing w:after="0"/>
            </w:pPr>
            <w:r>
              <w:rPr>
                <w:sz w:val="18"/>
              </w:rPr>
              <w:t>1</w:t>
            </w:r>
          </w:p>
        </w:tc>
        <w:tc>
          <w:tcPr>
            <w:tcW w:type="dxa" w:w="9648"/>
            <w:vAlign w:val="top"/>
            <w:tcMar>
              <w:top w:w="70" w:type="dxa"/>
              <w:start w:w="90" w:type="dxa"/>
              <w:bottom w:w="70" w:type="dxa"/>
              <w:end w:w="90" w:type="dxa"/>
            </w:tcMar>
          </w:tcPr>
          <w:p>
            <w:pPr>
              <w:spacing w:after="0"/>
            </w:pPr>
            <w:r>
              <w:rPr>
                <w:sz w:val="18"/>
              </w:rPr>
              <w:t>requested</w:t>
            </w:r>
          </w:p>
        </w:tc>
      </w:tr>
      <w:tr>
        <w:trPr>
          <w:cantSplit/>
        </w:trPr>
        <w:tc>
          <w:tcPr>
            <w:tcW w:type="dxa" w:w="864"/>
            <w:vAlign w:val="top"/>
            <w:tcMar>
              <w:top w:w="70" w:type="dxa"/>
              <w:start w:w="90" w:type="dxa"/>
              <w:bottom w:w="70" w:type="dxa"/>
              <w:end w:w="90" w:type="dxa"/>
            </w:tcMar>
          </w:tcPr>
          <w:p>
            <w:pPr>
              <w:spacing w:after="0"/>
            </w:pPr>
            <w:r>
              <w:rPr>
                <w:sz w:val="18"/>
              </w:rPr>
              <w:t>2</w:t>
            </w:r>
          </w:p>
        </w:tc>
        <w:tc>
          <w:tcPr>
            <w:tcW w:type="dxa" w:w="9648"/>
            <w:vAlign w:val="top"/>
            <w:tcMar>
              <w:top w:w="70" w:type="dxa"/>
              <w:start w:w="90" w:type="dxa"/>
              <w:bottom w:w="70" w:type="dxa"/>
              <w:end w:w="90" w:type="dxa"/>
            </w:tcMar>
          </w:tcPr>
          <w:p>
            <w:pPr>
              <w:spacing w:after="0"/>
            </w:pPr>
            <w:r>
              <w:rPr>
                <w:sz w:val="18"/>
              </w:rPr>
              <w:t>collecting_sources</w:t>
            </w:r>
          </w:p>
        </w:tc>
      </w:tr>
      <w:tr>
        <w:trPr>
          <w:cantSplit/>
        </w:trPr>
        <w:tc>
          <w:tcPr>
            <w:tcW w:type="dxa" w:w="864"/>
            <w:vAlign w:val="top"/>
            <w:tcMar>
              <w:top w:w="70" w:type="dxa"/>
              <w:start w:w="90" w:type="dxa"/>
              <w:bottom w:w="70" w:type="dxa"/>
              <w:end w:w="90" w:type="dxa"/>
            </w:tcMar>
          </w:tcPr>
          <w:p>
            <w:pPr>
              <w:spacing w:after="0"/>
            </w:pPr>
            <w:r>
              <w:rPr>
                <w:sz w:val="18"/>
              </w:rPr>
              <w:t>3</w:t>
            </w:r>
          </w:p>
        </w:tc>
        <w:tc>
          <w:tcPr>
            <w:tcW w:type="dxa" w:w="9648"/>
            <w:vAlign w:val="top"/>
            <w:tcMar>
              <w:top w:w="70" w:type="dxa"/>
              <w:start w:w="90" w:type="dxa"/>
              <w:bottom w:w="70" w:type="dxa"/>
              <w:end w:w="90" w:type="dxa"/>
            </w:tcMar>
          </w:tcPr>
          <w:p>
            <w:pPr>
              <w:spacing w:after="0"/>
            </w:pPr>
            <w:r>
              <w:rPr>
                <w:sz w:val="18"/>
              </w:rPr>
              <w:t>validating_reconciliation</w:t>
            </w:r>
          </w:p>
        </w:tc>
      </w:tr>
      <w:tr>
        <w:trPr>
          <w:cantSplit/>
        </w:trPr>
        <w:tc>
          <w:tcPr>
            <w:tcW w:type="dxa" w:w="864"/>
            <w:vAlign w:val="top"/>
            <w:tcMar>
              <w:top w:w="70" w:type="dxa"/>
              <w:start w:w="90" w:type="dxa"/>
              <w:bottom w:w="70" w:type="dxa"/>
              <w:end w:w="90" w:type="dxa"/>
            </w:tcMar>
          </w:tcPr>
          <w:p>
            <w:pPr>
              <w:spacing w:after="0"/>
            </w:pPr>
            <w:r>
              <w:rPr>
                <w:sz w:val="18"/>
              </w:rPr>
              <w:t>4</w:t>
            </w:r>
          </w:p>
        </w:tc>
        <w:tc>
          <w:tcPr>
            <w:tcW w:type="dxa" w:w="9648"/>
            <w:vAlign w:val="top"/>
            <w:tcMar>
              <w:top w:w="70" w:type="dxa"/>
              <w:start w:w="90" w:type="dxa"/>
              <w:bottom w:w="70" w:type="dxa"/>
              <w:end w:w="90" w:type="dxa"/>
            </w:tcMar>
          </w:tcPr>
          <w:p>
            <w:pPr>
              <w:spacing w:after="0"/>
            </w:pPr>
            <w:r>
              <w:rPr>
                <w:sz w:val="18"/>
              </w:rPr>
              <w:t>generating</w:t>
            </w:r>
          </w:p>
        </w:tc>
      </w:tr>
      <w:tr>
        <w:trPr>
          <w:cantSplit/>
        </w:trPr>
        <w:tc>
          <w:tcPr>
            <w:tcW w:type="dxa" w:w="864"/>
            <w:vAlign w:val="top"/>
            <w:tcMar>
              <w:top w:w="70" w:type="dxa"/>
              <w:start w:w="90" w:type="dxa"/>
              <w:bottom w:w="70" w:type="dxa"/>
              <w:end w:w="90" w:type="dxa"/>
            </w:tcMar>
          </w:tcPr>
          <w:p>
            <w:pPr>
              <w:spacing w:after="0"/>
            </w:pPr>
            <w:r>
              <w:rPr>
                <w:sz w:val="18"/>
              </w:rPr>
              <w:t>5</w:t>
            </w:r>
          </w:p>
        </w:tc>
        <w:tc>
          <w:tcPr>
            <w:tcW w:type="dxa" w:w="9648"/>
            <w:vAlign w:val="top"/>
            <w:tcMar>
              <w:top w:w="70" w:type="dxa"/>
              <w:start w:w="90" w:type="dxa"/>
              <w:bottom w:w="70" w:type="dxa"/>
              <w:end w:w="90" w:type="dxa"/>
            </w:tcMar>
          </w:tcPr>
          <w:p>
            <w:pPr>
              <w:spacing w:after="0"/>
            </w:pPr>
            <w:r>
              <w:rPr>
                <w:sz w:val="18"/>
              </w:rPr>
              <w:t>generated</w:t>
            </w:r>
          </w:p>
        </w:tc>
      </w:tr>
      <w:tr>
        <w:trPr>
          <w:cantSplit/>
        </w:trPr>
        <w:tc>
          <w:tcPr>
            <w:tcW w:type="dxa" w:w="864"/>
            <w:vAlign w:val="top"/>
            <w:tcMar>
              <w:top w:w="70" w:type="dxa"/>
              <w:start w:w="90" w:type="dxa"/>
              <w:bottom w:w="70" w:type="dxa"/>
              <w:end w:w="90" w:type="dxa"/>
            </w:tcMar>
          </w:tcPr>
          <w:p>
            <w:pPr>
              <w:spacing w:after="0"/>
            </w:pPr>
            <w:r>
              <w:rPr>
                <w:sz w:val="18"/>
              </w:rPr>
              <w:t>6</w:t>
            </w:r>
          </w:p>
        </w:tc>
        <w:tc>
          <w:tcPr>
            <w:tcW w:type="dxa" w:w="9648"/>
            <w:vAlign w:val="top"/>
            <w:tcMar>
              <w:top w:w="70" w:type="dxa"/>
              <w:start w:w="90" w:type="dxa"/>
              <w:bottom w:w="70" w:type="dxa"/>
              <w:end w:w="90" w:type="dxa"/>
            </w:tcMar>
          </w:tcPr>
          <w:p>
            <w:pPr>
              <w:spacing w:after="0"/>
            </w:pPr>
            <w:r>
              <w:rPr>
                <w:sz w:val="18"/>
              </w:rPr>
              <w:t>completed_with_exceptions</w:t>
            </w:r>
          </w:p>
        </w:tc>
      </w:tr>
      <w:tr>
        <w:trPr>
          <w:cantSplit/>
        </w:trPr>
        <w:tc>
          <w:tcPr>
            <w:tcW w:type="dxa" w:w="864"/>
            <w:vAlign w:val="top"/>
            <w:tcMar>
              <w:top w:w="70" w:type="dxa"/>
              <w:start w:w="90" w:type="dxa"/>
              <w:bottom w:w="70" w:type="dxa"/>
              <w:end w:w="90" w:type="dxa"/>
            </w:tcMar>
          </w:tcPr>
          <w:p>
            <w:pPr>
              <w:spacing w:after="0"/>
            </w:pPr>
            <w:r>
              <w:rPr>
                <w:sz w:val="18"/>
              </w:rPr>
              <w:t>7</w:t>
            </w:r>
          </w:p>
        </w:tc>
        <w:tc>
          <w:tcPr>
            <w:tcW w:type="dxa" w:w="9648"/>
            <w:vAlign w:val="top"/>
            <w:tcMar>
              <w:top w:w="70" w:type="dxa"/>
              <w:start w:w="90" w:type="dxa"/>
              <w:bottom w:w="70" w:type="dxa"/>
              <w:end w:w="90" w:type="dxa"/>
            </w:tcMar>
          </w:tcPr>
          <w:p>
            <w:pPr>
              <w:spacing w:after="0"/>
            </w:pPr>
            <w:r>
              <w:rPr>
                <w:sz w:val="18"/>
              </w:rPr>
              <w:t>pending_review</w:t>
            </w:r>
          </w:p>
        </w:tc>
      </w:tr>
      <w:tr>
        <w:trPr>
          <w:cantSplit/>
        </w:trPr>
        <w:tc>
          <w:tcPr>
            <w:tcW w:type="dxa" w:w="864"/>
            <w:vAlign w:val="top"/>
            <w:tcMar>
              <w:top w:w="70" w:type="dxa"/>
              <w:start w:w="90" w:type="dxa"/>
              <w:bottom w:w="70" w:type="dxa"/>
              <w:end w:w="90" w:type="dxa"/>
            </w:tcMar>
          </w:tcPr>
          <w:p>
            <w:pPr>
              <w:spacing w:after="0"/>
            </w:pPr>
            <w:r>
              <w:rPr>
                <w:sz w:val="18"/>
              </w:rPr>
              <w:t>8</w:t>
            </w:r>
          </w:p>
        </w:tc>
        <w:tc>
          <w:tcPr>
            <w:tcW w:type="dxa" w:w="9648"/>
            <w:vAlign w:val="top"/>
            <w:tcMar>
              <w:top w:w="70" w:type="dxa"/>
              <w:start w:w="90" w:type="dxa"/>
              <w:bottom w:w="70" w:type="dxa"/>
              <w:end w:w="90" w:type="dxa"/>
            </w:tcMar>
          </w:tcPr>
          <w:p>
            <w:pPr>
              <w:spacing w:after="0"/>
            </w:pPr>
            <w:r>
              <w:rPr>
                <w:sz w:val="18"/>
              </w:rPr>
              <w:t>approved</w:t>
            </w:r>
          </w:p>
        </w:tc>
      </w:tr>
      <w:tr>
        <w:trPr>
          <w:cantSplit/>
        </w:trPr>
        <w:tc>
          <w:tcPr>
            <w:tcW w:type="dxa" w:w="864"/>
            <w:vAlign w:val="top"/>
            <w:tcMar>
              <w:top w:w="70" w:type="dxa"/>
              <w:start w:w="90" w:type="dxa"/>
              <w:bottom w:w="70" w:type="dxa"/>
              <w:end w:w="90" w:type="dxa"/>
            </w:tcMar>
          </w:tcPr>
          <w:p>
            <w:pPr>
              <w:spacing w:after="0"/>
            </w:pPr>
            <w:r>
              <w:rPr>
                <w:sz w:val="18"/>
              </w:rPr>
              <w:t>9</w:t>
            </w:r>
          </w:p>
        </w:tc>
        <w:tc>
          <w:tcPr>
            <w:tcW w:type="dxa" w:w="9648"/>
            <w:vAlign w:val="top"/>
            <w:tcMar>
              <w:top w:w="70" w:type="dxa"/>
              <w:start w:w="90" w:type="dxa"/>
              <w:bottom w:w="70" w:type="dxa"/>
              <w:end w:w="90" w:type="dxa"/>
            </w:tcMar>
          </w:tcPr>
          <w:p>
            <w:pPr>
              <w:spacing w:after="0"/>
            </w:pPr>
            <w:r>
              <w:rPr>
                <w:sz w:val="18"/>
              </w:rPr>
              <w:t>queued_for_sync</w:t>
            </w:r>
          </w:p>
        </w:tc>
      </w:tr>
      <w:tr>
        <w:trPr>
          <w:cantSplit/>
        </w:trPr>
        <w:tc>
          <w:tcPr>
            <w:tcW w:type="dxa" w:w="864"/>
            <w:vAlign w:val="top"/>
            <w:tcMar>
              <w:top w:w="70" w:type="dxa"/>
              <w:start w:w="90" w:type="dxa"/>
              <w:bottom w:w="70" w:type="dxa"/>
              <w:end w:w="90" w:type="dxa"/>
            </w:tcMar>
          </w:tcPr>
          <w:p>
            <w:pPr>
              <w:spacing w:after="0"/>
            </w:pPr>
            <w:r>
              <w:rPr>
                <w:sz w:val="18"/>
              </w:rPr>
              <w:t>10</w:t>
            </w:r>
          </w:p>
        </w:tc>
        <w:tc>
          <w:tcPr>
            <w:tcW w:type="dxa" w:w="9648"/>
            <w:vAlign w:val="top"/>
            <w:tcMar>
              <w:top w:w="70" w:type="dxa"/>
              <w:start w:w="90" w:type="dxa"/>
              <w:bottom w:w="70" w:type="dxa"/>
              <w:end w:w="90" w:type="dxa"/>
            </w:tcMar>
          </w:tcPr>
          <w:p>
            <w:pPr>
              <w:spacing w:after="0"/>
            </w:pPr>
            <w:r>
              <w:rPr>
                <w:sz w:val="18"/>
              </w:rPr>
              <w:t>sync_requested</w:t>
            </w:r>
          </w:p>
        </w:tc>
      </w:tr>
      <w:tr>
        <w:trPr>
          <w:cantSplit/>
        </w:trPr>
        <w:tc>
          <w:tcPr>
            <w:tcW w:type="dxa" w:w="864"/>
            <w:vAlign w:val="top"/>
            <w:tcMar>
              <w:top w:w="70" w:type="dxa"/>
              <w:start w:w="90" w:type="dxa"/>
              <w:bottom w:w="70" w:type="dxa"/>
              <w:end w:w="90" w:type="dxa"/>
            </w:tcMar>
          </w:tcPr>
          <w:p>
            <w:pPr>
              <w:spacing w:after="0"/>
            </w:pPr>
            <w:r>
              <w:rPr>
                <w:sz w:val="18"/>
              </w:rPr>
              <w:t>11</w:t>
            </w:r>
          </w:p>
        </w:tc>
        <w:tc>
          <w:tcPr>
            <w:tcW w:type="dxa" w:w="9648"/>
            <w:vAlign w:val="top"/>
            <w:tcMar>
              <w:top w:w="70" w:type="dxa"/>
              <w:start w:w="90" w:type="dxa"/>
              <w:bottom w:w="70" w:type="dxa"/>
              <w:end w:w="90" w:type="dxa"/>
            </w:tcMar>
          </w:tcPr>
          <w:p>
            <w:pPr>
              <w:spacing w:after="0"/>
            </w:pPr>
            <w:r>
              <w:rPr>
                <w:sz w:val="18"/>
              </w:rPr>
              <w:t>synced</w:t>
            </w:r>
          </w:p>
        </w:tc>
      </w:tr>
      <w:tr>
        <w:trPr>
          <w:cantSplit/>
        </w:trPr>
        <w:tc>
          <w:tcPr>
            <w:tcW w:type="dxa" w:w="864"/>
            <w:vAlign w:val="top"/>
            <w:tcMar>
              <w:top w:w="70" w:type="dxa"/>
              <w:start w:w="90" w:type="dxa"/>
              <w:bottom w:w="70" w:type="dxa"/>
              <w:end w:w="90" w:type="dxa"/>
            </w:tcMar>
          </w:tcPr>
          <w:p>
            <w:pPr>
              <w:spacing w:after="0"/>
            </w:pPr>
            <w:r>
              <w:rPr>
                <w:sz w:val="18"/>
              </w:rPr>
              <w:t>12</w:t>
            </w:r>
          </w:p>
        </w:tc>
        <w:tc>
          <w:tcPr>
            <w:tcW w:type="dxa" w:w="9648"/>
            <w:vAlign w:val="top"/>
            <w:tcMar>
              <w:top w:w="70" w:type="dxa"/>
              <w:start w:w="90" w:type="dxa"/>
              <w:bottom w:w="70" w:type="dxa"/>
              <w:end w:w="90" w:type="dxa"/>
            </w:tcMar>
          </w:tcPr>
          <w:p>
            <w:pPr>
              <w:spacing w:after="0"/>
            </w:pPr>
            <w:r>
              <w:rPr>
                <w:sz w:val="18"/>
              </w:rPr>
              <w:t>sync_failed</w:t>
            </w:r>
          </w:p>
        </w:tc>
      </w:tr>
      <w:tr>
        <w:trPr>
          <w:cantSplit/>
        </w:trPr>
        <w:tc>
          <w:tcPr>
            <w:tcW w:type="dxa" w:w="864"/>
            <w:vAlign w:val="top"/>
            <w:tcMar>
              <w:top w:w="70" w:type="dxa"/>
              <w:start w:w="90" w:type="dxa"/>
              <w:bottom w:w="70" w:type="dxa"/>
              <w:end w:w="90" w:type="dxa"/>
            </w:tcMar>
          </w:tcPr>
          <w:p>
            <w:pPr>
              <w:spacing w:after="0"/>
            </w:pPr>
            <w:r>
              <w:rPr>
                <w:sz w:val="18"/>
              </w:rPr>
              <w:t>13</w:t>
            </w:r>
          </w:p>
        </w:tc>
        <w:tc>
          <w:tcPr>
            <w:tcW w:type="dxa" w:w="9648"/>
            <w:vAlign w:val="top"/>
            <w:tcMar>
              <w:top w:w="70" w:type="dxa"/>
              <w:start w:w="90" w:type="dxa"/>
              <w:bottom w:w="70" w:type="dxa"/>
              <w:end w:w="90" w:type="dxa"/>
            </w:tcMar>
          </w:tcPr>
          <w:p>
            <w:pPr>
              <w:spacing w:after="0"/>
            </w:pPr>
            <w:r>
              <w:rPr>
                <w:sz w:val="18"/>
              </w:rPr>
              <w:t>canceled</w:t>
            </w:r>
          </w:p>
        </w:tc>
      </w:tr>
      <w:tr>
        <w:trPr>
          <w:cantSplit/>
        </w:trPr>
        <w:tc>
          <w:tcPr>
            <w:tcW w:type="dxa" w:w="864"/>
            <w:vAlign w:val="top"/>
            <w:tcMar>
              <w:top w:w="70" w:type="dxa"/>
              <w:start w:w="90" w:type="dxa"/>
              <w:bottom w:w="70" w:type="dxa"/>
              <w:end w:w="90" w:type="dxa"/>
            </w:tcMar>
          </w:tcPr>
          <w:p>
            <w:pPr>
              <w:spacing w:after="0"/>
            </w:pPr>
            <w:r>
              <w:rPr>
                <w:sz w:val="18"/>
              </w:rPr>
              <w:t>14</w:t>
            </w:r>
          </w:p>
        </w:tc>
        <w:tc>
          <w:tcPr>
            <w:tcW w:type="dxa" w:w="9648"/>
            <w:vAlign w:val="top"/>
            <w:tcMar>
              <w:top w:w="70" w:type="dxa"/>
              <w:start w:w="90" w:type="dxa"/>
              <w:bottom w:w="70" w:type="dxa"/>
              <w:end w:w="90" w:type="dxa"/>
            </w:tcMar>
          </w:tcPr>
          <w:p>
            <w:pPr>
              <w:spacing w:after="0"/>
            </w:pPr>
            <w:r>
              <w:rPr>
                <w:sz w:val="18"/>
              </w:rPr>
              <w:t>superseded</w:t>
            </w:r>
          </w:p>
        </w:tc>
      </w:tr>
      <w:tr>
        <w:trPr>
          <w:cantSplit/>
        </w:trPr>
        <w:tc>
          <w:tcPr>
            <w:tcW w:type="dxa" w:w="864"/>
            <w:vAlign w:val="top"/>
            <w:tcMar>
              <w:top w:w="70" w:type="dxa"/>
              <w:start w:w="90" w:type="dxa"/>
              <w:bottom w:w="70" w:type="dxa"/>
              <w:end w:w="90" w:type="dxa"/>
            </w:tcMar>
          </w:tcPr>
          <w:p>
            <w:pPr>
              <w:spacing w:after="0"/>
            </w:pPr>
            <w:r>
              <w:rPr>
                <w:sz w:val="18"/>
              </w:rPr>
              <w:t>15</w:t>
            </w:r>
          </w:p>
        </w:tc>
        <w:tc>
          <w:tcPr>
            <w:tcW w:type="dxa" w:w="9648"/>
            <w:vAlign w:val="top"/>
            <w:tcMar>
              <w:top w:w="70" w:type="dxa"/>
              <w:start w:w="90" w:type="dxa"/>
              <w:bottom w:w="70" w:type="dxa"/>
              <w:end w:w="90" w:type="dxa"/>
            </w:tcMar>
          </w:tcPr>
          <w:p>
            <w:pPr>
              <w:spacing w:after="0"/>
            </w:pPr>
            <w:r>
              <w:rPr>
                <w:sz w:val="18"/>
              </w:rPr>
              <w:t>archived</w:t>
            </w:r>
          </w:p>
        </w:tc>
      </w:tr>
    </w:tbl>
    <w:p>
      <w:pPr>
        <w:spacing w:after="20"/>
      </w:pPr>
    </w:p>
    <w:p>
      <w:pPr>
        <w:pStyle w:val="Heading2"/>
      </w:pPr>
      <w:r>
        <w:t>4.2 Invoice Statuses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864"/>
            <w:shd w:fill="17365D"/>
            <w:vAlign w:val="center"/>
            <w:tcMar>
              <w:top w:w="70" w:type="dxa"/>
              <w:start w:w="90" w:type="dxa"/>
              <w:bottom w:w="70" w:type="dxa"/>
              <w:end w:w="90" w:type="dxa"/>
            </w:tcMar>
          </w:tcPr>
          <w:p>
            <w:pPr>
              <w:spacing w:after="0"/>
            </w:pPr>
            <w:r>
              <w:rPr>
                <w:b/>
                <w:color w:val="FFFFFF"/>
                <w:sz w:val="18"/>
              </w:rPr>
              <w:t>#</w:t>
            </w:r>
          </w:p>
        </w:tc>
        <w:tc>
          <w:tcPr>
            <w:tcW w:type="dxa" w:w="9648"/>
            <w:shd w:fill="17365D"/>
            <w:vAlign w:val="center"/>
            <w:tcMar>
              <w:top w:w="70" w:type="dxa"/>
              <w:start w:w="90" w:type="dxa"/>
              <w:bottom w:w="70" w:type="dxa"/>
              <w:end w:w="90" w:type="dxa"/>
            </w:tcMar>
          </w:tcPr>
          <w:p>
            <w:pPr>
              <w:spacing w:after="0"/>
            </w:pPr>
            <w:r>
              <w:rPr>
                <w:b/>
                <w:color w:val="FFFFFF"/>
                <w:sz w:val="18"/>
              </w:rPr>
              <w:t>Status</w:t>
            </w:r>
          </w:p>
        </w:tc>
      </w:tr>
      <w:tr>
        <w:trPr>
          <w:cantSplit/>
        </w:trPr>
        <w:tc>
          <w:tcPr>
            <w:tcW w:type="dxa" w:w="864"/>
            <w:vAlign w:val="top"/>
            <w:tcMar>
              <w:top w:w="70" w:type="dxa"/>
              <w:start w:w="90" w:type="dxa"/>
              <w:bottom w:w="70" w:type="dxa"/>
              <w:end w:w="90" w:type="dxa"/>
            </w:tcMar>
          </w:tcPr>
          <w:p>
            <w:pPr>
              <w:spacing w:after="0"/>
            </w:pPr>
            <w:r>
              <w:rPr>
                <w:sz w:val="18"/>
              </w:rPr>
              <w:t>1</w:t>
            </w:r>
          </w:p>
        </w:tc>
        <w:tc>
          <w:tcPr>
            <w:tcW w:type="dxa" w:w="9648"/>
            <w:vAlign w:val="top"/>
            <w:tcMar>
              <w:top w:w="70" w:type="dxa"/>
              <w:start w:w="90" w:type="dxa"/>
              <w:bottom w:w="70" w:type="dxa"/>
              <w:end w:w="90" w:type="dxa"/>
            </w:tcMar>
          </w:tcPr>
          <w:p>
            <w:pPr>
              <w:spacing w:after="0"/>
            </w:pPr>
            <w:r>
              <w:rPr>
                <w:sz w:val="18"/>
              </w:rPr>
              <w:t>draft</w:t>
            </w:r>
          </w:p>
        </w:tc>
      </w:tr>
      <w:tr>
        <w:trPr>
          <w:cantSplit/>
        </w:trPr>
        <w:tc>
          <w:tcPr>
            <w:tcW w:type="dxa" w:w="864"/>
            <w:vAlign w:val="top"/>
            <w:tcMar>
              <w:top w:w="70" w:type="dxa"/>
              <w:start w:w="90" w:type="dxa"/>
              <w:bottom w:w="70" w:type="dxa"/>
              <w:end w:w="90" w:type="dxa"/>
            </w:tcMar>
          </w:tcPr>
          <w:p>
            <w:pPr>
              <w:spacing w:after="0"/>
            </w:pPr>
            <w:r>
              <w:rPr>
                <w:sz w:val="18"/>
              </w:rPr>
              <w:t>2</w:t>
            </w:r>
          </w:p>
        </w:tc>
        <w:tc>
          <w:tcPr>
            <w:tcW w:type="dxa" w:w="9648"/>
            <w:vAlign w:val="top"/>
            <w:tcMar>
              <w:top w:w="70" w:type="dxa"/>
              <w:start w:w="90" w:type="dxa"/>
              <w:bottom w:w="70" w:type="dxa"/>
              <w:end w:w="90" w:type="dxa"/>
            </w:tcMar>
          </w:tcPr>
          <w:p>
            <w:pPr>
              <w:spacing w:after="0"/>
            </w:pPr>
            <w:r>
              <w:rPr>
                <w:sz w:val="18"/>
              </w:rPr>
              <w:t>generated</w:t>
            </w:r>
          </w:p>
        </w:tc>
      </w:tr>
      <w:tr>
        <w:trPr>
          <w:cantSplit/>
        </w:trPr>
        <w:tc>
          <w:tcPr>
            <w:tcW w:type="dxa" w:w="864"/>
            <w:vAlign w:val="top"/>
            <w:tcMar>
              <w:top w:w="70" w:type="dxa"/>
              <w:start w:w="90" w:type="dxa"/>
              <w:bottom w:w="70" w:type="dxa"/>
              <w:end w:w="90" w:type="dxa"/>
            </w:tcMar>
          </w:tcPr>
          <w:p>
            <w:pPr>
              <w:spacing w:after="0"/>
            </w:pPr>
            <w:r>
              <w:rPr>
                <w:sz w:val="18"/>
              </w:rPr>
              <w:t>3</w:t>
            </w:r>
          </w:p>
        </w:tc>
        <w:tc>
          <w:tcPr>
            <w:tcW w:type="dxa" w:w="9648"/>
            <w:vAlign w:val="top"/>
            <w:tcMar>
              <w:top w:w="70" w:type="dxa"/>
              <w:start w:w="90" w:type="dxa"/>
              <w:bottom w:w="70" w:type="dxa"/>
              <w:end w:w="90" w:type="dxa"/>
            </w:tcMar>
          </w:tcPr>
          <w:p>
            <w:pPr>
              <w:spacing w:after="0"/>
            </w:pPr>
            <w:r>
              <w:rPr>
                <w:sz w:val="18"/>
              </w:rPr>
              <w:t>pending_review</w:t>
            </w:r>
          </w:p>
        </w:tc>
      </w:tr>
      <w:tr>
        <w:trPr>
          <w:cantSplit/>
        </w:trPr>
        <w:tc>
          <w:tcPr>
            <w:tcW w:type="dxa" w:w="864"/>
            <w:vAlign w:val="top"/>
            <w:tcMar>
              <w:top w:w="70" w:type="dxa"/>
              <w:start w:w="90" w:type="dxa"/>
              <w:bottom w:w="70" w:type="dxa"/>
              <w:end w:w="90" w:type="dxa"/>
            </w:tcMar>
          </w:tcPr>
          <w:p>
            <w:pPr>
              <w:spacing w:after="0"/>
            </w:pPr>
            <w:r>
              <w:rPr>
                <w:sz w:val="18"/>
              </w:rPr>
              <w:t>4</w:t>
            </w:r>
          </w:p>
        </w:tc>
        <w:tc>
          <w:tcPr>
            <w:tcW w:type="dxa" w:w="9648"/>
            <w:vAlign w:val="top"/>
            <w:tcMar>
              <w:top w:w="70" w:type="dxa"/>
              <w:start w:w="90" w:type="dxa"/>
              <w:bottom w:w="70" w:type="dxa"/>
              <w:end w:w="90" w:type="dxa"/>
            </w:tcMar>
          </w:tcPr>
          <w:p>
            <w:pPr>
              <w:spacing w:after="0"/>
            </w:pPr>
            <w:r>
              <w:rPr>
                <w:sz w:val="18"/>
              </w:rPr>
              <w:t>approved</w:t>
            </w:r>
          </w:p>
        </w:tc>
      </w:tr>
      <w:tr>
        <w:trPr>
          <w:cantSplit/>
        </w:trPr>
        <w:tc>
          <w:tcPr>
            <w:tcW w:type="dxa" w:w="864"/>
            <w:vAlign w:val="top"/>
            <w:tcMar>
              <w:top w:w="70" w:type="dxa"/>
              <w:start w:w="90" w:type="dxa"/>
              <w:bottom w:w="70" w:type="dxa"/>
              <w:end w:w="90" w:type="dxa"/>
            </w:tcMar>
          </w:tcPr>
          <w:p>
            <w:pPr>
              <w:spacing w:after="0"/>
            </w:pPr>
            <w:r>
              <w:rPr>
                <w:sz w:val="18"/>
              </w:rPr>
              <w:t>5</w:t>
            </w:r>
          </w:p>
        </w:tc>
        <w:tc>
          <w:tcPr>
            <w:tcW w:type="dxa" w:w="9648"/>
            <w:vAlign w:val="top"/>
            <w:tcMar>
              <w:top w:w="70" w:type="dxa"/>
              <w:start w:w="90" w:type="dxa"/>
              <w:bottom w:w="70" w:type="dxa"/>
              <w:end w:w="90" w:type="dxa"/>
            </w:tcMar>
          </w:tcPr>
          <w:p>
            <w:pPr>
              <w:spacing w:after="0"/>
            </w:pPr>
            <w:r>
              <w:rPr>
                <w:sz w:val="18"/>
              </w:rPr>
              <w:t>rejected</w:t>
            </w:r>
          </w:p>
        </w:tc>
      </w:tr>
      <w:tr>
        <w:trPr>
          <w:cantSplit/>
        </w:trPr>
        <w:tc>
          <w:tcPr>
            <w:tcW w:type="dxa" w:w="864"/>
            <w:vAlign w:val="top"/>
            <w:tcMar>
              <w:top w:w="70" w:type="dxa"/>
              <w:start w:w="90" w:type="dxa"/>
              <w:bottom w:w="70" w:type="dxa"/>
              <w:end w:w="90" w:type="dxa"/>
            </w:tcMar>
          </w:tcPr>
          <w:p>
            <w:pPr>
              <w:spacing w:after="0"/>
            </w:pPr>
            <w:r>
              <w:rPr>
                <w:sz w:val="18"/>
              </w:rPr>
              <w:t>6</w:t>
            </w:r>
          </w:p>
        </w:tc>
        <w:tc>
          <w:tcPr>
            <w:tcW w:type="dxa" w:w="9648"/>
            <w:vAlign w:val="top"/>
            <w:tcMar>
              <w:top w:w="70" w:type="dxa"/>
              <w:start w:w="90" w:type="dxa"/>
              <w:bottom w:w="70" w:type="dxa"/>
              <w:end w:w="90" w:type="dxa"/>
            </w:tcMar>
          </w:tcPr>
          <w:p>
            <w:pPr>
              <w:spacing w:after="0"/>
            </w:pPr>
            <w:r>
              <w:rPr>
                <w:sz w:val="18"/>
              </w:rPr>
              <w:t>queued_for_sync</w:t>
            </w:r>
          </w:p>
        </w:tc>
      </w:tr>
      <w:tr>
        <w:trPr>
          <w:cantSplit/>
        </w:trPr>
        <w:tc>
          <w:tcPr>
            <w:tcW w:type="dxa" w:w="864"/>
            <w:vAlign w:val="top"/>
            <w:tcMar>
              <w:top w:w="70" w:type="dxa"/>
              <w:start w:w="90" w:type="dxa"/>
              <w:bottom w:w="70" w:type="dxa"/>
              <w:end w:w="90" w:type="dxa"/>
            </w:tcMar>
          </w:tcPr>
          <w:p>
            <w:pPr>
              <w:spacing w:after="0"/>
            </w:pPr>
            <w:r>
              <w:rPr>
                <w:sz w:val="18"/>
              </w:rPr>
              <w:t>7</w:t>
            </w:r>
          </w:p>
        </w:tc>
        <w:tc>
          <w:tcPr>
            <w:tcW w:type="dxa" w:w="9648"/>
            <w:vAlign w:val="top"/>
            <w:tcMar>
              <w:top w:w="70" w:type="dxa"/>
              <w:start w:w="90" w:type="dxa"/>
              <w:bottom w:w="70" w:type="dxa"/>
              <w:end w:w="90" w:type="dxa"/>
            </w:tcMar>
          </w:tcPr>
          <w:p>
            <w:pPr>
              <w:spacing w:after="0"/>
            </w:pPr>
            <w:r>
              <w:rPr>
                <w:sz w:val="18"/>
              </w:rPr>
              <w:t>sync_requested</w:t>
            </w:r>
          </w:p>
        </w:tc>
      </w:tr>
      <w:tr>
        <w:trPr>
          <w:cantSplit/>
        </w:trPr>
        <w:tc>
          <w:tcPr>
            <w:tcW w:type="dxa" w:w="864"/>
            <w:vAlign w:val="top"/>
            <w:tcMar>
              <w:top w:w="70" w:type="dxa"/>
              <w:start w:w="90" w:type="dxa"/>
              <w:bottom w:w="70" w:type="dxa"/>
              <w:end w:w="90" w:type="dxa"/>
            </w:tcMar>
          </w:tcPr>
          <w:p>
            <w:pPr>
              <w:spacing w:after="0"/>
            </w:pPr>
            <w:r>
              <w:rPr>
                <w:sz w:val="18"/>
              </w:rPr>
              <w:t>8</w:t>
            </w:r>
          </w:p>
        </w:tc>
        <w:tc>
          <w:tcPr>
            <w:tcW w:type="dxa" w:w="9648"/>
            <w:vAlign w:val="top"/>
            <w:tcMar>
              <w:top w:w="70" w:type="dxa"/>
              <w:start w:w="90" w:type="dxa"/>
              <w:bottom w:w="70" w:type="dxa"/>
              <w:end w:w="90" w:type="dxa"/>
            </w:tcMar>
          </w:tcPr>
          <w:p>
            <w:pPr>
              <w:spacing w:after="0"/>
            </w:pPr>
            <w:r>
              <w:rPr>
                <w:sz w:val="18"/>
              </w:rPr>
              <w:t>synced</w:t>
            </w:r>
          </w:p>
        </w:tc>
      </w:tr>
      <w:tr>
        <w:trPr>
          <w:cantSplit/>
        </w:trPr>
        <w:tc>
          <w:tcPr>
            <w:tcW w:type="dxa" w:w="864"/>
            <w:vAlign w:val="top"/>
            <w:tcMar>
              <w:top w:w="70" w:type="dxa"/>
              <w:start w:w="90" w:type="dxa"/>
              <w:bottom w:w="70" w:type="dxa"/>
              <w:end w:w="90" w:type="dxa"/>
            </w:tcMar>
          </w:tcPr>
          <w:p>
            <w:pPr>
              <w:spacing w:after="0"/>
            </w:pPr>
            <w:r>
              <w:rPr>
                <w:sz w:val="18"/>
              </w:rPr>
              <w:t>9</w:t>
            </w:r>
          </w:p>
        </w:tc>
        <w:tc>
          <w:tcPr>
            <w:tcW w:type="dxa" w:w="9648"/>
            <w:vAlign w:val="top"/>
            <w:tcMar>
              <w:top w:w="70" w:type="dxa"/>
              <w:start w:w="90" w:type="dxa"/>
              <w:bottom w:w="70" w:type="dxa"/>
              <w:end w:w="90" w:type="dxa"/>
            </w:tcMar>
          </w:tcPr>
          <w:p>
            <w:pPr>
              <w:spacing w:after="0"/>
            </w:pPr>
            <w:r>
              <w:rPr>
                <w:sz w:val="18"/>
              </w:rPr>
              <w:t>sync_failed</w:t>
            </w:r>
          </w:p>
        </w:tc>
      </w:tr>
      <w:tr>
        <w:trPr>
          <w:cantSplit/>
        </w:trPr>
        <w:tc>
          <w:tcPr>
            <w:tcW w:type="dxa" w:w="864"/>
            <w:vAlign w:val="top"/>
            <w:tcMar>
              <w:top w:w="70" w:type="dxa"/>
              <w:start w:w="90" w:type="dxa"/>
              <w:bottom w:w="70" w:type="dxa"/>
              <w:end w:w="90" w:type="dxa"/>
            </w:tcMar>
          </w:tcPr>
          <w:p>
            <w:pPr>
              <w:spacing w:after="0"/>
            </w:pPr>
            <w:r>
              <w:rPr>
                <w:sz w:val="18"/>
              </w:rPr>
              <w:t>10</w:t>
            </w:r>
          </w:p>
        </w:tc>
        <w:tc>
          <w:tcPr>
            <w:tcW w:type="dxa" w:w="9648"/>
            <w:vAlign w:val="top"/>
            <w:tcMar>
              <w:top w:w="70" w:type="dxa"/>
              <w:start w:w="90" w:type="dxa"/>
              <w:bottom w:w="70" w:type="dxa"/>
              <w:end w:w="90" w:type="dxa"/>
            </w:tcMar>
          </w:tcPr>
          <w:p>
            <w:pPr>
              <w:spacing w:after="0"/>
            </w:pPr>
            <w:r>
              <w:rPr>
                <w:sz w:val="18"/>
              </w:rPr>
              <w:t>adjustment_required</w:t>
            </w:r>
          </w:p>
        </w:tc>
      </w:tr>
      <w:tr>
        <w:trPr>
          <w:cantSplit/>
        </w:trPr>
        <w:tc>
          <w:tcPr>
            <w:tcW w:type="dxa" w:w="864"/>
            <w:vAlign w:val="top"/>
            <w:tcMar>
              <w:top w:w="70" w:type="dxa"/>
              <w:start w:w="90" w:type="dxa"/>
              <w:bottom w:w="70" w:type="dxa"/>
              <w:end w:w="90" w:type="dxa"/>
            </w:tcMar>
          </w:tcPr>
          <w:p>
            <w:pPr>
              <w:spacing w:after="0"/>
            </w:pPr>
            <w:r>
              <w:rPr>
                <w:sz w:val="18"/>
              </w:rPr>
              <w:t>11</w:t>
            </w:r>
          </w:p>
        </w:tc>
        <w:tc>
          <w:tcPr>
            <w:tcW w:type="dxa" w:w="9648"/>
            <w:vAlign w:val="top"/>
            <w:tcMar>
              <w:top w:w="70" w:type="dxa"/>
              <w:start w:w="90" w:type="dxa"/>
              <w:bottom w:w="70" w:type="dxa"/>
              <w:end w:w="90" w:type="dxa"/>
            </w:tcMar>
          </w:tcPr>
          <w:p>
            <w:pPr>
              <w:spacing w:after="0"/>
            </w:pPr>
            <w:r>
              <w:rPr>
                <w:sz w:val="18"/>
              </w:rPr>
              <w:t>superseded</w:t>
            </w:r>
          </w:p>
        </w:tc>
      </w:tr>
      <w:tr>
        <w:trPr>
          <w:cantSplit/>
        </w:trPr>
        <w:tc>
          <w:tcPr>
            <w:tcW w:type="dxa" w:w="864"/>
            <w:vAlign w:val="top"/>
            <w:tcMar>
              <w:top w:w="70" w:type="dxa"/>
              <w:start w:w="90" w:type="dxa"/>
              <w:bottom w:w="70" w:type="dxa"/>
              <w:end w:w="90" w:type="dxa"/>
            </w:tcMar>
          </w:tcPr>
          <w:p>
            <w:pPr>
              <w:spacing w:after="0"/>
            </w:pPr>
            <w:r>
              <w:rPr>
                <w:sz w:val="18"/>
              </w:rPr>
              <w:t>12</w:t>
            </w:r>
          </w:p>
        </w:tc>
        <w:tc>
          <w:tcPr>
            <w:tcW w:type="dxa" w:w="9648"/>
            <w:vAlign w:val="top"/>
            <w:tcMar>
              <w:top w:w="70" w:type="dxa"/>
              <w:start w:w="90" w:type="dxa"/>
              <w:bottom w:w="70" w:type="dxa"/>
              <w:end w:w="90" w:type="dxa"/>
            </w:tcMar>
          </w:tcPr>
          <w:p>
            <w:pPr>
              <w:spacing w:after="0"/>
            </w:pPr>
            <w:r>
              <w:rPr>
                <w:sz w:val="18"/>
              </w:rPr>
              <w:t>voided</w:t>
            </w:r>
          </w:p>
        </w:tc>
      </w:tr>
      <w:tr>
        <w:trPr>
          <w:cantSplit/>
        </w:trPr>
        <w:tc>
          <w:tcPr>
            <w:tcW w:type="dxa" w:w="864"/>
            <w:vAlign w:val="top"/>
            <w:tcMar>
              <w:top w:w="70" w:type="dxa"/>
              <w:start w:w="90" w:type="dxa"/>
              <w:bottom w:w="70" w:type="dxa"/>
              <w:end w:w="90" w:type="dxa"/>
            </w:tcMar>
          </w:tcPr>
          <w:p>
            <w:pPr>
              <w:spacing w:after="0"/>
            </w:pPr>
            <w:r>
              <w:rPr>
                <w:sz w:val="18"/>
              </w:rPr>
              <w:t>13</w:t>
            </w:r>
          </w:p>
        </w:tc>
        <w:tc>
          <w:tcPr>
            <w:tcW w:type="dxa" w:w="9648"/>
            <w:vAlign w:val="top"/>
            <w:tcMar>
              <w:top w:w="70" w:type="dxa"/>
              <w:start w:w="90" w:type="dxa"/>
              <w:bottom w:w="70" w:type="dxa"/>
              <w:end w:w="90" w:type="dxa"/>
            </w:tcMar>
          </w:tcPr>
          <w:p>
            <w:pPr>
              <w:spacing w:after="0"/>
            </w:pPr>
            <w:r>
              <w:rPr>
                <w:sz w:val="18"/>
              </w:rPr>
              <w:t>canceled</w:t>
            </w:r>
          </w:p>
        </w:tc>
      </w:tr>
      <w:tr>
        <w:trPr>
          <w:cantSplit/>
        </w:trPr>
        <w:tc>
          <w:tcPr>
            <w:tcW w:type="dxa" w:w="864"/>
            <w:vAlign w:val="top"/>
            <w:tcMar>
              <w:top w:w="70" w:type="dxa"/>
              <w:start w:w="90" w:type="dxa"/>
              <w:bottom w:w="70" w:type="dxa"/>
              <w:end w:w="90" w:type="dxa"/>
            </w:tcMar>
          </w:tcPr>
          <w:p>
            <w:pPr>
              <w:spacing w:after="0"/>
            </w:pPr>
            <w:r>
              <w:rPr>
                <w:sz w:val="18"/>
              </w:rPr>
              <w:t>14</w:t>
            </w:r>
          </w:p>
        </w:tc>
        <w:tc>
          <w:tcPr>
            <w:tcW w:type="dxa" w:w="9648"/>
            <w:vAlign w:val="top"/>
            <w:tcMar>
              <w:top w:w="70" w:type="dxa"/>
              <w:start w:w="90" w:type="dxa"/>
              <w:bottom w:w="70" w:type="dxa"/>
              <w:end w:w="90" w:type="dxa"/>
            </w:tcMar>
          </w:tcPr>
          <w:p>
            <w:pPr>
              <w:spacing w:after="0"/>
            </w:pPr>
            <w:r>
              <w:rPr>
                <w:sz w:val="18"/>
              </w:rPr>
              <w:t>archived</w:t>
            </w:r>
          </w:p>
        </w:tc>
      </w:tr>
    </w:tbl>
    <w:p>
      <w:pPr>
        <w:spacing w:after="20"/>
      </w:pPr>
    </w:p>
    <w:tbl>
      <w:tblPr>
        <w:tblStyle w:val="TableGrid"/>
        <w:tblW w:type="auto" w:w="0"/>
        <w:tblLook w:firstColumn="1" w:firstRow="1" w:lastColumn="0" w:lastRow="0" w:noHBand="0" w:noVBand="1" w:val="04A0"/>
      </w:tblPr>
      <w:tblGrid>
        <w:gridCol w:w="10224"/>
      </w:tblGrid>
      <w:tr>
        <w:trPr>
          <w:cantSplit/>
        </w:trPr>
        <w:tc>
          <w:tcPr>
            <w:tcW w:type="dxa" w:w="10224"/>
            <w:shd w:fill="FCE4D6"/>
            <w:tcMar>
              <w:top w:w="100" w:type="dxa"/>
              <w:start w:w="110" w:type="dxa"/>
              <w:bottom w:w="100" w:type="dxa"/>
              <w:end w:w="110" w:type="dxa"/>
            </w:tcMar>
          </w:tcPr>
          <w:p>
            <w:pPr>
              <w:spacing w:after="0"/>
            </w:pPr>
            <w:r>
              <w:rPr>
                <w:b/>
                <w:color w:val="17365D"/>
                <w:sz w:val="21"/>
              </w:rPr>
              <w:t>Boundary Warning</w:t>
              <w:br/>
            </w:r>
            <w:r>
              <w:rPr>
                <w:sz w:val="20"/>
              </w:rPr>
              <w:t>Do not add paid, partially_paid, or credited to the internal Invoice status taxonomy. Those are external QuickBooks payment-status references. A CIXCI Invoice that QuickBooks reports as paid may remain internally synced.</w:t>
            </w:r>
          </w:p>
        </w:tc>
      </w:tr>
    </w:tbl>
    <w:p>
      <w:pPr>
        <w:spacing w:after="20"/>
      </w:pPr>
    </w:p>
    <w:p>
      <w:pPr>
        <w:pStyle w:val="Heading1"/>
      </w:pPr>
      <w:r>
        <w:t>5. Collect Authoritative Source Evidence</w:t>
      </w:r>
    </w:p>
    <w:p>
      <w:r>
        <w:t>Invoice Management should collect references to authoritative source records rather than recreating or overriding them.</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880"/>
            <w:shd w:fill="17365D"/>
            <w:vAlign w:val="center"/>
            <w:tcMar>
              <w:top w:w="70" w:type="dxa"/>
              <w:start w:w="90" w:type="dxa"/>
              <w:bottom w:w="70" w:type="dxa"/>
              <w:end w:w="90" w:type="dxa"/>
            </w:tcMar>
          </w:tcPr>
          <w:p>
            <w:pPr>
              <w:spacing w:after="0"/>
            </w:pPr>
            <w:r>
              <w:rPr>
                <w:b/>
                <w:color w:val="FFFFFF"/>
                <w:sz w:val="18"/>
              </w:rPr>
              <w:t>Evidence</w:t>
            </w:r>
          </w:p>
        </w:tc>
        <w:tc>
          <w:tcPr>
            <w:tcW w:type="dxa" w:w="2880"/>
            <w:shd w:fill="17365D"/>
            <w:vAlign w:val="center"/>
            <w:tcMar>
              <w:top w:w="70" w:type="dxa"/>
              <w:start w:w="90" w:type="dxa"/>
              <w:bottom w:w="70" w:type="dxa"/>
              <w:end w:w="90" w:type="dxa"/>
            </w:tcMar>
          </w:tcPr>
          <w:p>
            <w:pPr>
              <w:spacing w:after="0"/>
            </w:pPr>
            <w:r>
              <w:rPr>
                <w:b/>
                <w:color w:val="FFFFFF"/>
                <w:sz w:val="18"/>
              </w:rPr>
              <w:t>Owner</w:t>
            </w:r>
          </w:p>
        </w:tc>
        <w:tc>
          <w:tcPr>
            <w:tcW w:type="dxa" w:w="5328"/>
            <w:shd w:fill="17365D"/>
            <w:vAlign w:val="center"/>
            <w:tcMar>
              <w:top w:w="70" w:type="dxa"/>
              <w:start w:w="90" w:type="dxa"/>
              <w:bottom w:w="70" w:type="dxa"/>
              <w:end w:w="90" w:type="dxa"/>
            </w:tcMar>
          </w:tcPr>
          <w:p>
            <w:pPr>
              <w:spacing w:after="0"/>
            </w:pPr>
            <w:r>
              <w:rPr>
                <w:b/>
                <w:color w:val="FFFFFF"/>
                <w:sz w:val="18"/>
              </w:rPr>
              <w:t>Invoice Use</w:t>
            </w:r>
          </w:p>
        </w:tc>
      </w:tr>
      <w:tr>
        <w:trPr>
          <w:cantSplit/>
        </w:trPr>
        <w:tc>
          <w:tcPr>
            <w:tcW w:type="dxa" w:w="2880"/>
            <w:vAlign w:val="top"/>
            <w:tcMar>
              <w:top w:w="70" w:type="dxa"/>
              <w:start w:w="90" w:type="dxa"/>
              <w:bottom w:w="70" w:type="dxa"/>
              <w:end w:w="90" w:type="dxa"/>
            </w:tcMar>
          </w:tcPr>
          <w:p>
            <w:pPr>
              <w:spacing w:after="0"/>
            </w:pPr>
            <w:r>
              <w:rPr>
                <w:sz w:val="18"/>
              </w:rPr>
              <w:t>Order / Suborder / Order Line</w:t>
            </w:r>
          </w:p>
        </w:tc>
        <w:tc>
          <w:tcPr>
            <w:tcW w:type="dxa" w:w="2880"/>
            <w:vAlign w:val="top"/>
            <w:tcMar>
              <w:top w:w="70" w:type="dxa"/>
              <w:start w:w="90" w:type="dxa"/>
              <w:bottom w:w="70" w:type="dxa"/>
              <w:end w:w="90" w:type="dxa"/>
            </w:tcMar>
          </w:tcPr>
          <w:p>
            <w:pPr>
              <w:spacing w:after="0"/>
            </w:pPr>
            <w:r>
              <w:rPr>
                <w:sz w:val="18"/>
              </w:rPr>
              <w:t>Order Routing</w:t>
            </w:r>
          </w:p>
        </w:tc>
        <w:tc>
          <w:tcPr>
            <w:tcW w:type="dxa" w:w="5328"/>
            <w:vAlign w:val="top"/>
            <w:tcMar>
              <w:top w:w="70" w:type="dxa"/>
              <w:start w:w="90" w:type="dxa"/>
              <w:bottom w:w="70" w:type="dxa"/>
              <w:end w:w="90" w:type="dxa"/>
            </w:tcMar>
          </w:tcPr>
          <w:p>
            <w:pPr>
              <w:spacing w:after="0"/>
            </w:pPr>
            <w:r>
              <w:rPr>
                <w:sz w:val="18"/>
              </w:rPr>
              <w:t>Identifies the source transaction and vendor/buyer scope.</w:t>
            </w:r>
          </w:p>
        </w:tc>
      </w:tr>
      <w:tr>
        <w:trPr>
          <w:cantSplit/>
        </w:trPr>
        <w:tc>
          <w:tcPr>
            <w:tcW w:type="dxa" w:w="2880"/>
            <w:vAlign w:val="top"/>
            <w:tcMar>
              <w:top w:w="70" w:type="dxa"/>
              <w:start w:w="90" w:type="dxa"/>
              <w:bottom w:w="70" w:type="dxa"/>
              <w:end w:w="90" w:type="dxa"/>
            </w:tcMar>
          </w:tcPr>
          <w:p>
            <w:pPr>
              <w:spacing w:after="0"/>
            </w:pPr>
            <w:r>
              <w:rPr>
                <w:sz w:val="18"/>
              </w:rPr>
              <w:t>Accepted Delivery Evidence</w:t>
            </w:r>
          </w:p>
        </w:tc>
        <w:tc>
          <w:tcPr>
            <w:tcW w:type="dxa" w:w="2880"/>
            <w:vAlign w:val="top"/>
            <w:tcMar>
              <w:top w:w="70" w:type="dxa"/>
              <w:start w:w="90" w:type="dxa"/>
              <w:bottom w:w="70" w:type="dxa"/>
              <w:end w:w="90" w:type="dxa"/>
            </w:tcMar>
          </w:tcPr>
          <w:p>
            <w:pPr>
              <w:spacing w:after="0"/>
            </w:pPr>
            <w:r>
              <w:rPr>
                <w:sz w:val="18"/>
              </w:rPr>
              <w:t>Fulfillment / Returns</w:t>
            </w:r>
          </w:p>
        </w:tc>
        <w:tc>
          <w:tcPr>
            <w:tcW w:type="dxa" w:w="5328"/>
            <w:vAlign w:val="top"/>
            <w:tcMar>
              <w:top w:w="70" w:type="dxa"/>
              <w:start w:w="90" w:type="dxa"/>
              <w:bottom w:w="70" w:type="dxa"/>
              <w:end w:w="90" w:type="dxa"/>
            </w:tcMar>
          </w:tcPr>
          <w:p>
            <w:pPr>
              <w:spacing w:after="0"/>
            </w:pPr>
            <w:r>
              <w:rPr>
                <w:sz w:val="18"/>
              </w:rPr>
              <w:t>Determines whether an order line can become invoice-eligible.</w:t>
            </w:r>
          </w:p>
        </w:tc>
      </w:tr>
      <w:tr>
        <w:trPr>
          <w:cantSplit/>
        </w:trPr>
        <w:tc>
          <w:tcPr>
            <w:tcW w:type="dxa" w:w="2880"/>
            <w:vAlign w:val="top"/>
            <w:tcMar>
              <w:top w:w="70" w:type="dxa"/>
              <w:start w:w="90" w:type="dxa"/>
              <w:bottom w:w="70" w:type="dxa"/>
              <w:end w:w="90" w:type="dxa"/>
            </w:tcMar>
          </w:tcPr>
          <w:p>
            <w:pPr>
              <w:spacing w:after="0"/>
            </w:pPr>
            <w:r>
              <w:rPr>
                <w:sz w:val="18"/>
              </w:rPr>
              <w:t>Refund Evidence</w:t>
            </w:r>
          </w:p>
        </w:tc>
        <w:tc>
          <w:tcPr>
            <w:tcW w:type="dxa" w:w="2880"/>
            <w:vAlign w:val="top"/>
            <w:tcMar>
              <w:top w:w="70" w:type="dxa"/>
              <w:start w:w="90" w:type="dxa"/>
              <w:bottom w:w="70" w:type="dxa"/>
              <w:end w:w="90" w:type="dxa"/>
            </w:tcMar>
          </w:tcPr>
          <w:p>
            <w:pPr>
              <w:spacing w:after="0"/>
            </w:pPr>
            <w:r>
              <w:rPr>
                <w:sz w:val="18"/>
              </w:rPr>
              <w:t>Fulfillment / Returns</w:t>
            </w:r>
          </w:p>
        </w:tc>
        <w:tc>
          <w:tcPr>
            <w:tcW w:type="dxa" w:w="5328"/>
            <w:vAlign w:val="top"/>
            <w:tcMar>
              <w:top w:w="70" w:type="dxa"/>
              <w:start w:w="90" w:type="dxa"/>
              <w:bottom w:w="70" w:type="dxa"/>
              <w:end w:w="90" w:type="dxa"/>
            </w:tcMar>
          </w:tcPr>
          <w:p>
            <w:pPr>
              <w:spacing w:after="0"/>
            </w:pPr>
            <w:r>
              <w:rPr>
                <w:sz w:val="18"/>
              </w:rPr>
              <w:t>Establishes that a qualifying refund outcome exists.</w:t>
            </w:r>
          </w:p>
        </w:tc>
      </w:tr>
      <w:tr>
        <w:trPr>
          <w:cantSplit/>
        </w:trPr>
        <w:tc>
          <w:tcPr>
            <w:tcW w:type="dxa" w:w="2880"/>
            <w:vAlign w:val="top"/>
            <w:tcMar>
              <w:top w:w="70" w:type="dxa"/>
              <w:start w:w="90" w:type="dxa"/>
              <w:bottom w:w="70" w:type="dxa"/>
              <w:end w:w="90" w:type="dxa"/>
            </w:tcMar>
          </w:tcPr>
          <w:p>
            <w:pPr>
              <w:spacing w:after="0"/>
            </w:pPr>
            <w:r>
              <w:rPr>
                <w:sz w:val="18"/>
              </w:rPr>
              <w:t>Pricing Snapshot</w:t>
            </w:r>
          </w:p>
        </w:tc>
        <w:tc>
          <w:tcPr>
            <w:tcW w:type="dxa" w:w="2880"/>
            <w:vAlign w:val="top"/>
            <w:tcMar>
              <w:top w:w="70" w:type="dxa"/>
              <w:start w:w="90" w:type="dxa"/>
              <w:bottom w:w="70" w:type="dxa"/>
              <w:end w:w="90" w:type="dxa"/>
            </w:tcMar>
          </w:tcPr>
          <w:p>
            <w:pPr>
              <w:spacing w:after="0"/>
            </w:pPr>
            <w:r>
              <w:rPr>
                <w:sz w:val="18"/>
              </w:rPr>
              <w:t>Pricing</w:t>
            </w:r>
          </w:p>
        </w:tc>
        <w:tc>
          <w:tcPr>
            <w:tcW w:type="dxa" w:w="5328"/>
            <w:vAlign w:val="top"/>
            <w:tcMar>
              <w:top w:w="70" w:type="dxa"/>
              <w:start w:w="90" w:type="dxa"/>
              <w:bottom w:w="70" w:type="dxa"/>
              <w:end w:w="90" w:type="dxa"/>
            </w:tcMar>
          </w:tcPr>
          <w:p>
            <w:pPr>
              <w:spacing w:after="0"/>
            </w:pPr>
            <w:r>
              <w:rPr>
                <w:sz w:val="18"/>
              </w:rPr>
              <w:t>Supplies the approved monetary values used by the Invoice Line.</w:t>
            </w:r>
          </w:p>
        </w:tc>
      </w:tr>
      <w:tr>
        <w:trPr>
          <w:cantSplit/>
        </w:trPr>
        <w:tc>
          <w:tcPr>
            <w:tcW w:type="dxa" w:w="2880"/>
            <w:vAlign w:val="top"/>
            <w:tcMar>
              <w:top w:w="70" w:type="dxa"/>
              <w:start w:w="90" w:type="dxa"/>
              <w:bottom w:w="70" w:type="dxa"/>
              <w:end w:w="90" w:type="dxa"/>
            </w:tcMar>
          </w:tcPr>
          <w:p>
            <w:pPr>
              <w:spacing w:after="0"/>
            </w:pPr>
            <w:r>
              <w:rPr>
                <w:sz w:val="18"/>
              </w:rPr>
              <w:t>Commission Snapshot</w:t>
            </w:r>
          </w:p>
        </w:tc>
        <w:tc>
          <w:tcPr>
            <w:tcW w:type="dxa" w:w="2880"/>
            <w:vAlign w:val="top"/>
            <w:tcMar>
              <w:top w:w="70" w:type="dxa"/>
              <w:start w:w="90" w:type="dxa"/>
              <w:bottom w:w="70" w:type="dxa"/>
              <w:end w:w="90" w:type="dxa"/>
            </w:tcMar>
          </w:tcPr>
          <w:p>
            <w:pPr>
              <w:spacing w:after="0"/>
            </w:pPr>
            <w:r>
              <w:rPr>
                <w:sz w:val="18"/>
              </w:rPr>
              <w:t>Pricing</w:t>
            </w:r>
          </w:p>
        </w:tc>
        <w:tc>
          <w:tcPr>
            <w:tcW w:type="dxa" w:w="5328"/>
            <w:vAlign w:val="top"/>
            <w:tcMar>
              <w:top w:w="70" w:type="dxa"/>
              <w:start w:w="90" w:type="dxa"/>
              <w:bottom w:w="70" w:type="dxa"/>
              <w:end w:w="90" w:type="dxa"/>
            </w:tcMar>
          </w:tcPr>
          <w:p>
            <w:pPr>
              <w:spacing w:after="0"/>
            </w:pPr>
            <w:r>
              <w:rPr>
                <w:sz w:val="18"/>
              </w:rPr>
              <w:t>Supplies commission values/rates as immutable evidence.</w:t>
            </w:r>
          </w:p>
        </w:tc>
      </w:tr>
      <w:tr>
        <w:trPr>
          <w:cantSplit/>
        </w:trPr>
        <w:tc>
          <w:tcPr>
            <w:tcW w:type="dxa" w:w="2880"/>
            <w:vAlign w:val="top"/>
            <w:tcMar>
              <w:top w:w="70" w:type="dxa"/>
              <w:start w:w="90" w:type="dxa"/>
              <w:bottom w:w="70" w:type="dxa"/>
              <w:end w:w="90" w:type="dxa"/>
            </w:tcMar>
          </w:tcPr>
          <w:p>
            <w:pPr>
              <w:spacing w:after="0"/>
            </w:pPr>
            <w:r>
              <w:rPr>
                <w:sz w:val="18"/>
              </w:rPr>
              <w:t>Pricing Adjustment Evidence</w:t>
            </w:r>
          </w:p>
        </w:tc>
        <w:tc>
          <w:tcPr>
            <w:tcW w:type="dxa" w:w="2880"/>
            <w:vAlign w:val="top"/>
            <w:tcMar>
              <w:top w:w="70" w:type="dxa"/>
              <w:start w:w="90" w:type="dxa"/>
              <w:bottom w:w="70" w:type="dxa"/>
              <w:end w:w="90" w:type="dxa"/>
            </w:tcMar>
          </w:tcPr>
          <w:p>
            <w:pPr>
              <w:spacing w:after="0"/>
            </w:pPr>
            <w:r>
              <w:rPr>
                <w:sz w:val="18"/>
              </w:rPr>
              <w:t>Pricing</w:t>
            </w:r>
          </w:p>
        </w:tc>
        <w:tc>
          <w:tcPr>
            <w:tcW w:type="dxa" w:w="5328"/>
            <w:vAlign w:val="top"/>
            <w:tcMar>
              <w:top w:w="70" w:type="dxa"/>
              <w:start w:w="90" w:type="dxa"/>
              <w:bottom w:w="70" w:type="dxa"/>
              <w:end w:w="90" w:type="dxa"/>
            </w:tcMar>
          </w:tcPr>
          <w:p>
            <w:pPr>
              <w:spacing w:after="0"/>
            </w:pPr>
            <w:r>
              <w:rPr>
                <w:sz w:val="18"/>
              </w:rPr>
              <w:t>Supplies the approved refund/adjustment amount.</w:t>
            </w:r>
          </w:p>
        </w:tc>
      </w:tr>
      <w:tr>
        <w:trPr>
          <w:cantSplit/>
        </w:trPr>
        <w:tc>
          <w:tcPr>
            <w:tcW w:type="dxa" w:w="2880"/>
            <w:vAlign w:val="top"/>
            <w:tcMar>
              <w:top w:w="70" w:type="dxa"/>
              <w:start w:w="90" w:type="dxa"/>
              <w:bottom w:w="70" w:type="dxa"/>
              <w:end w:w="90" w:type="dxa"/>
            </w:tcMar>
          </w:tcPr>
          <w:p>
            <w:pPr>
              <w:spacing w:after="0"/>
            </w:pPr>
            <w:r>
              <w:rPr>
                <w:sz w:val="18"/>
              </w:rPr>
              <w:t>Company / Billing Scope</w:t>
            </w:r>
          </w:p>
        </w:tc>
        <w:tc>
          <w:tcPr>
            <w:tcW w:type="dxa" w:w="2880"/>
            <w:vAlign w:val="top"/>
            <w:tcMar>
              <w:top w:w="70" w:type="dxa"/>
              <w:start w:w="90" w:type="dxa"/>
              <w:bottom w:w="70" w:type="dxa"/>
              <w:end w:w="90" w:type="dxa"/>
            </w:tcMar>
          </w:tcPr>
          <w:p>
            <w:pPr>
              <w:spacing w:after="0"/>
            </w:pPr>
            <w:r>
              <w:rPr>
                <w:sz w:val="18"/>
              </w:rPr>
              <w:t>Tenant Company</w:t>
            </w:r>
          </w:p>
        </w:tc>
        <w:tc>
          <w:tcPr>
            <w:tcW w:type="dxa" w:w="5328"/>
            <w:vAlign w:val="top"/>
            <w:tcMar>
              <w:top w:w="70" w:type="dxa"/>
              <w:start w:w="90" w:type="dxa"/>
              <w:bottom w:w="70" w:type="dxa"/>
              <w:end w:w="90" w:type="dxa"/>
            </w:tcMar>
          </w:tcPr>
          <w:p>
            <w:pPr>
              <w:spacing w:after="0"/>
            </w:pPr>
            <w:r>
              <w:rPr>
                <w:sz w:val="18"/>
              </w:rPr>
              <w:t>Controls counterparty scope, access, and billing grouping references.</w:t>
            </w:r>
          </w:p>
        </w:tc>
      </w:tr>
      <w:tr>
        <w:trPr>
          <w:cantSplit/>
        </w:trPr>
        <w:tc>
          <w:tcPr>
            <w:tcW w:type="dxa" w:w="2880"/>
            <w:vAlign w:val="top"/>
            <w:tcMar>
              <w:top w:w="70" w:type="dxa"/>
              <w:start w:w="90" w:type="dxa"/>
              <w:bottom w:w="70" w:type="dxa"/>
              <w:end w:w="90" w:type="dxa"/>
            </w:tcMar>
          </w:tcPr>
          <w:p>
            <w:pPr>
              <w:spacing w:after="0"/>
            </w:pPr>
            <w:r>
              <w:rPr>
                <w:sz w:val="18"/>
              </w:rPr>
              <w:t>Audit / File Evidence</w:t>
            </w:r>
          </w:p>
        </w:tc>
        <w:tc>
          <w:tcPr>
            <w:tcW w:type="dxa" w:w="2880"/>
            <w:vAlign w:val="top"/>
            <w:tcMar>
              <w:top w:w="70" w:type="dxa"/>
              <w:start w:w="90" w:type="dxa"/>
              <w:bottom w:w="70" w:type="dxa"/>
              <w:end w:w="90" w:type="dxa"/>
            </w:tcMar>
          </w:tcPr>
          <w:p>
            <w:pPr>
              <w:spacing w:after="0"/>
            </w:pPr>
            <w:r>
              <w:rPr>
                <w:sz w:val="18"/>
              </w:rPr>
              <w:t>Logs &amp; Audit</w:t>
            </w:r>
          </w:p>
        </w:tc>
        <w:tc>
          <w:tcPr>
            <w:tcW w:type="dxa" w:w="5328"/>
            <w:vAlign w:val="top"/>
            <w:tcMar>
              <w:top w:w="70" w:type="dxa"/>
              <w:start w:w="90" w:type="dxa"/>
              <w:bottom w:w="70" w:type="dxa"/>
              <w:end w:w="90" w:type="dxa"/>
            </w:tcMar>
          </w:tcPr>
          <w:p>
            <w:pPr>
              <w:spacing w:after="0"/>
            </w:pPr>
            <w:r>
              <w:rPr>
                <w:sz w:val="18"/>
              </w:rPr>
              <w:t>Provides immutable evidence references.</w:t>
            </w:r>
          </w:p>
        </w:tc>
      </w:tr>
    </w:tbl>
    <w:p>
      <w:pPr>
        <w:spacing w:after="20"/>
      </w:pPr>
    </w:p>
    <w:p>
      <w:pPr>
        <w:pStyle w:val="Heading1"/>
      </w:pPr>
      <w:r>
        <w:t>6. Determine Invoice Eligibility</w:t>
      </w:r>
    </w:p>
    <w:tbl>
      <w:tblPr>
        <w:tblStyle w:val="TableGrid"/>
        <w:tblW w:type="auto" w:w="0"/>
        <w:tblLook w:firstColumn="1" w:firstRow="1" w:lastColumn="0" w:lastRow="0" w:noHBand="0" w:noVBand="1" w:val="04A0"/>
      </w:tblPr>
      <w:tblGrid>
        <w:gridCol w:w="10224"/>
      </w:tblGrid>
      <w:tr>
        <w:trPr>
          <w:cantSplit/>
        </w:trPr>
        <w:tc>
          <w:tcPr>
            <w:tcW w:type="dxa" w:w="10224"/>
            <w:shd w:fill="FCE4D6"/>
            <w:tcMar>
              <w:top w:w="100" w:type="dxa"/>
              <w:start w:w="110" w:type="dxa"/>
              <w:bottom w:w="100" w:type="dxa"/>
              <w:end w:w="110" w:type="dxa"/>
            </w:tcMar>
          </w:tcPr>
          <w:p>
            <w:pPr>
              <w:spacing w:after="0"/>
            </w:pPr>
            <w:r>
              <w:rPr>
                <w:b/>
                <w:color w:val="17365D"/>
                <w:sz w:val="21"/>
              </w:rPr>
              <w:t>Hard Eligibility Rule</w:t>
              <w:br/>
            </w:r>
            <w:r>
              <w:rPr>
                <w:sz w:val="20"/>
              </w:rPr>
              <w:t>A delivered order line becomes invoice-eligible only when accepted Fulfillment/Returns delivery evidence exists. Shipment or tracking status alone is not enough. A Vendor assertion that an item was delivered does not automatically make it invoice-eligible.</w:t>
            </w:r>
          </w:p>
        </w:tc>
      </w:tr>
    </w:tbl>
    <w:p>
      <w:pPr>
        <w:spacing w:after="20"/>
      </w:pP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84"/>
            <w:shd w:fill="17365D"/>
            <w:vAlign w:val="center"/>
            <w:tcMar>
              <w:top w:w="70" w:type="dxa"/>
              <w:start w:w="90" w:type="dxa"/>
              <w:bottom w:w="70" w:type="dxa"/>
              <w:end w:w="90" w:type="dxa"/>
            </w:tcMar>
          </w:tcPr>
          <w:p>
            <w:pPr>
              <w:spacing w:after="0"/>
            </w:pPr>
            <w:r>
              <w:rPr>
                <w:b/>
                <w:color w:val="FFFFFF"/>
                <w:sz w:val="18"/>
              </w:rPr>
              <w:t>Source State</w:t>
            </w:r>
          </w:p>
        </w:tc>
        <w:tc>
          <w:tcPr>
            <w:tcW w:type="dxa" w:w="5904"/>
            <w:shd w:fill="17365D"/>
            <w:vAlign w:val="center"/>
            <w:tcMar>
              <w:top w:w="70" w:type="dxa"/>
              <w:start w:w="90" w:type="dxa"/>
              <w:bottom w:w="70" w:type="dxa"/>
              <w:end w:w="90" w:type="dxa"/>
            </w:tcMar>
          </w:tcPr>
          <w:p>
            <w:pPr>
              <w:spacing w:after="0"/>
            </w:pPr>
            <w:r>
              <w:rPr>
                <w:b/>
                <w:color w:val="FFFFFF"/>
                <w:sz w:val="18"/>
              </w:rPr>
              <w:t>Invoice Eligibility</w:t>
            </w:r>
          </w:p>
        </w:tc>
      </w:tr>
      <w:tr>
        <w:trPr>
          <w:cantSplit/>
        </w:trPr>
        <w:tc>
          <w:tcPr>
            <w:tcW w:type="dxa" w:w="5184"/>
            <w:vAlign w:val="top"/>
            <w:tcMar>
              <w:top w:w="70" w:type="dxa"/>
              <w:start w:w="90" w:type="dxa"/>
              <w:bottom w:w="70" w:type="dxa"/>
              <w:end w:w="90" w:type="dxa"/>
            </w:tcMar>
          </w:tcPr>
          <w:p>
            <w:pPr>
              <w:spacing w:after="0"/>
            </w:pPr>
            <w:r>
              <w:rPr>
                <w:sz w:val="18"/>
              </w:rPr>
              <w:t>Order placed</w:t>
            </w:r>
          </w:p>
        </w:tc>
        <w:tc>
          <w:tcPr>
            <w:tcW w:type="dxa" w:w="5904"/>
            <w:vAlign w:val="top"/>
            <w:tcMar>
              <w:top w:w="70" w:type="dxa"/>
              <w:start w:w="90" w:type="dxa"/>
              <w:bottom w:w="70" w:type="dxa"/>
              <w:end w:w="90" w:type="dxa"/>
            </w:tcMar>
          </w:tcPr>
          <w:p>
            <w:pPr>
              <w:spacing w:after="0"/>
            </w:pPr>
            <w:r>
              <w:rPr>
                <w:sz w:val="18"/>
              </w:rPr>
              <w:t>Not eligible.</w:t>
            </w:r>
          </w:p>
        </w:tc>
      </w:tr>
      <w:tr>
        <w:trPr>
          <w:cantSplit/>
        </w:trPr>
        <w:tc>
          <w:tcPr>
            <w:tcW w:type="dxa" w:w="5184"/>
            <w:vAlign w:val="top"/>
            <w:tcMar>
              <w:top w:w="70" w:type="dxa"/>
              <w:start w:w="90" w:type="dxa"/>
              <w:bottom w:w="70" w:type="dxa"/>
              <w:end w:w="90" w:type="dxa"/>
            </w:tcMar>
          </w:tcPr>
          <w:p>
            <w:pPr>
              <w:spacing w:after="0"/>
            </w:pPr>
            <w:r>
              <w:rPr>
                <w:sz w:val="18"/>
              </w:rPr>
              <w:t>Processing / pending</w:t>
            </w:r>
          </w:p>
        </w:tc>
        <w:tc>
          <w:tcPr>
            <w:tcW w:type="dxa" w:w="5904"/>
            <w:vAlign w:val="top"/>
            <w:tcMar>
              <w:top w:w="70" w:type="dxa"/>
              <w:start w:w="90" w:type="dxa"/>
              <w:bottom w:w="70" w:type="dxa"/>
              <w:end w:w="90" w:type="dxa"/>
            </w:tcMar>
          </w:tcPr>
          <w:p>
            <w:pPr>
              <w:spacing w:after="0"/>
            </w:pPr>
            <w:r>
              <w:rPr>
                <w:sz w:val="18"/>
              </w:rPr>
              <w:t>Not eligible.</w:t>
            </w:r>
          </w:p>
        </w:tc>
      </w:tr>
      <w:tr>
        <w:trPr>
          <w:cantSplit/>
        </w:trPr>
        <w:tc>
          <w:tcPr>
            <w:tcW w:type="dxa" w:w="5184"/>
            <w:vAlign w:val="top"/>
            <w:tcMar>
              <w:top w:w="70" w:type="dxa"/>
              <w:start w:w="90" w:type="dxa"/>
              <w:bottom w:w="70" w:type="dxa"/>
              <w:end w:w="90" w:type="dxa"/>
            </w:tcMar>
          </w:tcPr>
          <w:p>
            <w:pPr>
              <w:spacing w:after="0"/>
            </w:pPr>
            <w:r>
              <w:rPr>
                <w:sz w:val="18"/>
              </w:rPr>
              <w:t>Shipped with tracking only</w:t>
            </w:r>
          </w:p>
        </w:tc>
        <w:tc>
          <w:tcPr>
            <w:tcW w:type="dxa" w:w="5904"/>
            <w:vAlign w:val="top"/>
            <w:tcMar>
              <w:top w:w="70" w:type="dxa"/>
              <w:start w:w="90" w:type="dxa"/>
              <w:bottom w:w="70" w:type="dxa"/>
              <w:end w:w="90" w:type="dxa"/>
            </w:tcMar>
          </w:tcPr>
          <w:p>
            <w:pPr>
              <w:spacing w:after="0"/>
            </w:pPr>
            <w:r>
              <w:rPr>
                <w:sz w:val="18"/>
              </w:rPr>
              <w:t>Not eligible.</w:t>
            </w:r>
          </w:p>
        </w:tc>
      </w:tr>
      <w:tr>
        <w:trPr>
          <w:cantSplit/>
        </w:trPr>
        <w:tc>
          <w:tcPr>
            <w:tcW w:type="dxa" w:w="5184"/>
            <w:vAlign w:val="top"/>
            <w:tcMar>
              <w:top w:w="70" w:type="dxa"/>
              <w:start w:w="90" w:type="dxa"/>
              <w:bottom w:w="70" w:type="dxa"/>
              <w:end w:w="90" w:type="dxa"/>
            </w:tcMar>
          </w:tcPr>
          <w:p>
            <w:pPr>
              <w:spacing w:after="0"/>
            </w:pPr>
            <w:r>
              <w:rPr>
                <w:sz w:val="18"/>
              </w:rPr>
              <w:t>Vendor reports Delivered but no accepted CIXCI delivery evidence</w:t>
            </w:r>
          </w:p>
        </w:tc>
        <w:tc>
          <w:tcPr>
            <w:tcW w:type="dxa" w:w="5904"/>
            <w:vAlign w:val="top"/>
            <w:tcMar>
              <w:top w:w="70" w:type="dxa"/>
              <w:start w:w="90" w:type="dxa"/>
              <w:bottom w:w="70" w:type="dxa"/>
              <w:end w:w="90" w:type="dxa"/>
            </w:tcMar>
          </w:tcPr>
          <w:p>
            <w:pPr>
              <w:spacing w:after="0"/>
            </w:pPr>
            <w:r>
              <w:rPr>
                <w:sz w:val="18"/>
              </w:rPr>
              <w:t>Not automatically eligible; may create reconciliation/review evidence.</w:t>
            </w:r>
          </w:p>
        </w:tc>
      </w:tr>
      <w:tr>
        <w:trPr>
          <w:cantSplit/>
        </w:trPr>
        <w:tc>
          <w:tcPr>
            <w:tcW w:type="dxa" w:w="5184"/>
            <w:vAlign w:val="top"/>
            <w:tcMar>
              <w:top w:w="70" w:type="dxa"/>
              <w:start w:w="90" w:type="dxa"/>
              <w:bottom w:w="70" w:type="dxa"/>
              <w:end w:w="90" w:type="dxa"/>
            </w:tcMar>
          </w:tcPr>
          <w:p>
            <w:pPr>
              <w:spacing w:after="0"/>
            </w:pPr>
            <w:r>
              <w:rPr>
                <w:sz w:val="18"/>
              </w:rPr>
              <w:t>Accepted Delivery Evidence exists</w:t>
            </w:r>
          </w:p>
        </w:tc>
        <w:tc>
          <w:tcPr>
            <w:tcW w:type="dxa" w:w="5904"/>
            <w:vAlign w:val="top"/>
            <w:tcMar>
              <w:top w:w="70" w:type="dxa"/>
              <w:start w:w="90" w:type="dxa"/>
              <w:bottom w:w="70" w:type="dxa"/>
              <w:end w:w="90" w:type="dxa"/>
            </w:tcMar>
          </w:tcPr>
          <w:p>
            <w:pPr>
              <w:spacing w:after="0"/>
            </w:pPr>
            <w:r>
              <w:rPr>
                <w:sz w:val="18"/>
              </w:rPr>
              <w:t>Potentially eligible, subject to pricing, scope, exceptions, and other required evidence.</w:t>
            </w:r>
          </w:p>
        </w:tc>
      </w:tr>
      <w:tr>
        <w:trPr>
          <w:cantSplit/>
        </w:trPr>
        <w:tc>
          <w:tcPr>
            <w:tcW w:type="dxa" w:w="5184"/>
            <w:vAlign w:val="top"/>
            <w:tcMar>
              <w:top w:w="70" w:type="dxa"/>
              <w:start w:w="90" w:type="dxa"/>
              <w:bottom w:w="70" w:type="dxa"/>
              <w:end w:w="90" w:type="dxa"/>
            </w:tcMar>
          </w:tcPr>
          <w:p>
            <w:pPr>
              <w:spacing w:after="0"/>
            </w:pPr>
            <w:r>
              <w:rPr>
                <w:sz w:val="18"/>
              </w:rPr>
              <w:t>Canceled / failed / unfulfilled / undelivered</w:t>
            </w:r>
          </w:p>
        </w:tc>
        <w:tc>
          <w:tcPr>
            <w:tcW w:type="dxa" w:w="5904"/>
            <w:vAlign w:val="top"/>
            <w:tcMar>
              <w:top w:w="70" w:type="dxa"/>
              <w:start w:w="90" w:type="dxa"/>
              <w:bottom w:w="70" w:type="dxa"/>
              <w:end w:w="90" w:type="dxa"/>
            </w:tcMar>
          </w:tcPr>
          <w:p>
            <w:pPr>
              <w:spacing w:after="0"/>
            </w:pPr>
            <w:r>
              <w:rPr>
                <w:sz w:val="18"/>
              </w:rPr>
              <w:t>Excluded.</w:t>
            </w:r>
          </w:p>
        </w:tc>
      </w:tr>
      <w:tr>
        <w:trPr>
          <w:cantSplit/>
        </w:trPr>
        <w:tc>
          <w:tcPr>
            <w:tcW w:type="dxa" w:w="5184"/>
            <w:vAlign w:val="top"/>
            <w:tcMar>
              <w:top w:w="70" w:type="dxa"/>
              <w:start w:w="90" w:type="dxa"/>
              <w:bottom w:w="70" w:type="dxa"/>
              <w:end w:w="90" w:type="dxa"/>
            </w:tcMar>
          </w:tcPr>
          <w:p>
            <w:pPr>
              <w:spacing w:after="0"/>
            </w:pPr>
            <w:r>
              <w:rPr>
                <w:sz w:val="18"/>
              </w:rPr>
              <w:t>Returned but not refunded</w:t>
            </w:r>
          </w:p>
        </w:tc>
        <w:tc>
          <w:tcPr>
            <w:tcW w:type="dxa" w:w="5904"/>
            <w:vAlign w:val="top"/>
            <w:tcMar>
              <w:top w:w="70" w:type="dxa"/>
              <w:start w:w="90" w:type="dxa"/>
              <w:bottom w:w="70" w:type="dxa"/>
              <w:end w:w="90" w:type="dxa"/>
            </w:tcMar>
          </w:tcPr>
          <w:p>
            <w:pPr>
              <w:spacing w:after="0"/>
            </w:pPr>
            <w:r>
              <w:rPr>
                <w:sz w:val="18"/>
              </w:rPr>
              <w:t>Does not automatically reduce invoiceable amount.</w:t>
            </w:r>
          </w:p>
        </w:tc>
      </w:tr>
      <w:tr>
        <w:trPr>
          <w:cantSplit/>
        </w:trPr>
        <w:tc>
          <w:tcPr>
            <w:tcW w:type="dxa" w:w="5184"/>
            <w:vAlign w:val="top"/>
            <w:tcMar>
              <w:top w:w="70" w:type="dxa"/>
              <w:start w:w="90" w:type="dxa"/>
              <w:bottom w:w="70" w:type="dxa"/>
              <w:end w:w="90" w:type="dxa"/>
            </w:tcMar>
          </w:tcPr>
          <w:p>
            <w:pPr>
              <w:spacing w:after="0"/>
            </w:pPr>
            <w:r>
              <w:rPr>
                <w:sz w:val="18"/>
              </w:rPr>
              <w:t>Return rejected without refund</w:t>
            </w:r>
          </w:p>
        </w:tc>
        <w:tc>
          <w:tcPr>
            <w:tcW w:type="dxa" w:w="5904"/>
            <w:vAlign w:val="top"/>
            <w:tcMar>
              <w:top w:w="70" w:type="dxa"/>
              <w:start w:w="90" w:type="dxa"/>
              <w:bottom w:w="70" w:type="dxa"/>
              <w:end w:w="90" w:type="dxa"/>
            </w:tcMar>
          </w:tcPr>
          <w:p>
            <w:pPr>
              <w:spacing w:after="0"/>
            </w:pPr>
            <w:r>
              <w:rPr>
                <w:sz w:val="18"/>
              </w:rPr>
              <w:t>Does not reduce invoiceable amount by default.</w:t>
            </w:r>
          </w:p>
        </w:tc>
      </w:tr>
    </w:tbl>
    <w:p>
      <w:pPr>
        <w:spacing w:after="20"/>
      </w:pPr>
    </w:p>
    <w:p>
      <w:pPr>
        <w:pStyle w:val="Heading2"/>
      </w:pPr>
      <w:r>
        <w:t>6.1 Split and Multi-Vendor Orders</w:t>
      </w:r>
    </w:p>
    <w:p>
      <w:r>
        <w:t>Eligibility is evaluated at the appropriate line/suborder/vendor scope. The parent order does not need one global financial state before eligible delivered lines can be considered.</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728"/>
            <w:shd w:fill="17365D"/>
            <w:vAlign w:val="center"/>
            <w:tcMar>
              <w:top w:w="70" w:type="dxa"/>
              <w:start w:w="90" w:type="dxa"/>
              <w:bottom w:w="70" w:type="dxa"/>
              <w:end w:w="90" w:type="dxa"/>
            </w:tcMar>
          </w:tcPr>
          <w:p>
            <w:pPr>
              <w:spacing w:after="0"/>
            </w:pPr>
            <w:r>
              <w:rPr>
                <w:b/>
                <w:color w:val="FFFFFF"/>
                <w:sz w:val="18"/>
              </w:rPr>
              <w:t>Line</w:t>
            </w:r>
          </w:p>
        </w:tc>
        <w:tc>
          <w:tcPr>
            <w:tcW w:type="dxa" w:w="2160"/>
            <w:shd w:fill="17365D"/>
            <w:vAlign w:val="center"/>
            <w:tcMar>
              <w:top w:w="70" w:type="dxa"/>
              <w:start w:w="90" w:type="dxa"/>
              <w:bottom w:w="70" w:type="dxa"/>
              <w:end w:w="90" w:type="dxa"/>
            </w:tcMar>
          </w:tcPr>
          <w:p>
            <w:pPr>
              <w:spacing w:after="0"/>
            </w:pPr>
            <w:r>
              <w:rPr>
                <w:b/>
                <w:color w:val="FFFFFF"/>
                <w:sz w:val="18"/>
              </w:rPr>
              <w:t>Vendor</w:t>
            </w:r>
          </w:p>
        </w:tc>
        <w:tc>
          <w:tcPr>
            <w:tcW w:type="dxa" w:w="3888"/>
            <w:shd w:fill="17365D"/>
            <w:vAlign w:val="center"/>
            <w:tcMar>
              <w:top w:w="70" w:type="dxa"/>
              <w:start w:w="90" w:type="dxa"/>
              <w:bottom w:w="70" w:type="dxa"/>
              <w:end w:w="90" w:type="dxa"/>
            </w:tcMar>
          </w:tcPr>
          <w:p>
            <w:pPr>
              <w:spacing w:after="0"/>
            </w:pPr>
            <w:r>
              <w:rPr>
                <w:b/>
                <w:color w:val="FFFFFF"/>
                <w:sz w:val="18"/>
              </w:rPr>
              <w:t>Operational State</w:t>
            </w:r>
          </w:p>
        </w:tc>
        <w:tc>
          <w:tcPr>
            <w:tcW w:type="dxa" w:w="3312"/>
            <w:shd w:fill="17365D"/>
            <w:vAlign w:val="center"/>
            <w:tcMar>
              <w:top w:w="70" w:type="dxa"/>
              <w:start w:w="90" w:type="dxa"/>
              <w:bottom w:w="70" w:type="dxa"/>
              <w:end w:w="90" w:type="dxa"/>
            </w:tcMar>
          </w:tcPr>
          <w:p>
            <w:pPr>
              <w:spacing w:after="0"/>
            </w:pPr>
            <w:r>
              <w:rPr>
                <w:b/>
                <w:color w:val="FFFFFF"/>
                <w:sz w:val="18"/>
              </w:rPr>
              <w:t>Invoice Result</w:t>
            </w:r>
          </w:p>
        </w:tc>
      </w:tr>
      <w:tr>
        <w:trPr>
          <w:cantSplit/>
        </w:trPr>
        <w:tc>
          <w:tcPr>
            <w:tcW w:type="dxa" w:w="1728"/>
            <w:vAlign w:val="top"/>
            <w:tcMar>
              <w:top w:w="70" w:type="dxa"/>
              <w:start w:w="90" w:type="dxa"/>
              <w:bottom w:w="70" w:type="dxa"/>
              <w:end w:w="90" w:type="dxa"/>
            </w:tcMar>
          </w:tcPr>
          <w:p>
            <w:pPr>
              <w:spacing w:after="0"/>
            </w:pPr>
            <w:r>
              <w:rPr>
                <w:sz w:val="18"/>
              </w:rPr>
              <w:t>Case</w:t>
            </w:r>
          </w:p>
        </w:tc>
        <w:tc>
          <w:tcPr>
            <w:tcW w:type="dxa" w:w="2160"/>
            <w:vAlign w:val="top"/>
            <w:tcMar>
              <w:top w:w="70" w:type="dxa"/>
              <w:start w:w="90" w:type="dxa"/>
              <w:bottom w:w="70" w:type="dxa"/>
              <w:end w:w="90" w:type="dxa"/>
            </w:tcMar>
          </w:tcPr>
          <w:p>
            <w:pPr>
              <w:spacing w:after="0"/>
            </w:pPr>
            <w:r>
              <w:rPr>
                <w:sz w:val="18"/>
              </w:rPr>
              <w:t>Vendor A</w:t>
            </w:r>
          </w:p>
        </w:tc>
        <w:tc>
          <w:tcPr>
            <w:tcW w:type="dxa" w:w="3888"/>
            <w:vAlign w:val="top"/>
            <w:tcMar>
              <w:top w:w="70" w:type="dxa"/>
              <w:start w:w="90" w:type="dxa"/>
              <w:bottom w:w="70" w:type="dxa"/>
              <w:end w:w="90" w:type="dxa"/>
            </w:tcMar>
          </w:tcPr>
          <w:p>
            <w:pPr>
              <w:spacing w:after="0"/>
            </w:pPr>
            <w:r>
              <w:rPr>
                <w:sz w:val="18"/>
              </w:rPr>
              <w:t>Delivered with accepted evidence</w:t>
            </w:r>
          </w:p>
        </w:tc>
        <w:tc>
          <w:tcPr>
            <w:tcW w:type="dxa" w:w="3312"/>
            <w:vAlign w:val="top"/>
            <w:tcMar>
              <w:top w:w="70" w:type="dxa"/>
              <w:start w:w="90" w:type="dxa"/>
              <w:bottom w:w="70" w:type="dxa"/>
              <w:end w:w="90" w:type="dxa"/>
            </w:tcMar>
          </w:tcPr>
          <w:p>
            <w:pPr>
              <w:spacing w:after="0"/>
            </w:pPr>
            <w:r>
              <w:rPr>
                <w:sz w:val="18"/>
              </w:rPr>
              <w:t>Eligible candidate.</w:t>
            </w:r>
          </w:p>
        </w:tc>
      </w:tr>
      <w:tr>
        <w:trPr>
          <w:cantSplit/>
        </w:trPr>
        <w:tc>
          <w:tcPr>
            <w:tcW w:type="dxa" w:w="1728"/>
            <w:vAlign w:val="top"/>
            <w:tcMar>
              <w:top w:w="70" w:type="dxa"/>
              <w:start w:w="90" w:type="dxa"/>
              <w:bottom w:w="70" w:type="dxa"/>
              <w:end w:w="90" w:type="dxa"/>
            </w:tcMar>
          </w:tcPr>
          <w:p>
            <w:pPr>
              <w:spacing w:after="0"/>
            </w:pPr>
            <w:r>
              <w:rPr>
                <w:sz w:val="18"/>
              </w:rPr>
              <w:t>Charger</w:t>
            </w:r>
          </w:p>
        </w:tc>
        <w:tc>
          <w:tcPr>
            <w:tcW w:type="dxa" w:w="2160"/>
            <w:vAlign w:val="top"/>
            <w:tcMar>
              <w:top w:w="70" w:type="dxa"/>
              <w:start w:w="90" w:type="dxa"/>
              <w:bottom w:w="70" w:type="dxa"/>
              <w:end w:w="90" w:type="dxa"/>
            </w:tcMar>
          </w:tcPr>
          <w:p>
            <w:pPr>
              <w:spacing w:after="0"/>
            </w:pPr>
            <w:r>
              <w:rPr>
                <w:sz w:val="18"/>
              </w:rPr>
              <w:t>Vendor B</w:t>
            </w:r>
          </w:p>
        </w:tc>
        <w:tc>
          <w:tcPr>
            <w:tcW w:type="dxa" w:w="3888"/>
            <w:vAlign w:val="top"/>
            <w:tcMar>
              <w:top w:w="70" w:type="dxa"/>
              <w:start w:w="90" w:type="dxa"/>
              <w:bottom w:w="70" w:type="dxa"/>
              <w:end w:w="90" w:type="dxa"/>
            </w:tcMar>
          </w:tcPr>
          <w:p>
            <w:pPr>
              <w:spacing w:after="0"/>
            </w:pPr>
            <w:r>
              <w:rPr>
                <w:sz w:val="18"/>
              </w:rPr>
              <w:t>Shipped only</w:t>
            </w:r>
          </w:p>
        </w:tc>
        <w:tc>
          <w:tcPr>
            <w:tcW w:type="dxa" w:w="3312"/>
            <w:vAlign w:val="top"/>
            <w:tcMar>
              <w:top w:w="70" w:type="dxa"/>
              <w:start w:w="90" w:type="dxa"/>
              <w:bottom w:w="70" w:type="dxa"/>
              <w:end w:w="90" w:type="dxa"/>
            </w:tcMar>
          </w:tcPr>
          <w:p>
            <w:pPr>
              <w:spacing w:after="0"/>
            </w:pPr>
            <w:r>
              <w:rPr>
                <w:sz w:val="18"/>
              </w:rPr>
              <w:t>Not eligible yet.</w:t>
            </w:r>
          </w:p>
        </w:tc>
      </w:tr>
      <w:tr>
        <w:trPr>
          <w:cantSplit/>
        </w:trPr>
        <w:tc>
          <w:tcPr>
            <w:tcW w:type="dxa" w:w="1728"/>
            <w:vAlign w:val="top"/>
            <w:tcMar>
              <w:top w:w="70" w:type="dxa"/>
              <w:start w:w="90" w:type="dxa"/>
              <w:bottom w:w="70" w:type="dxa"/>
              <w:end w:w="90" w:type="dxa"/>
            </w:tcMar>
          </w:tcPr>
          <w:p>
            <w:pPr>
              <w:spacing w:after="0"/>
            </w:pPr>
            <w:r>
              <w:rPr>
                <w:sz w:val="18"/>
              </w:rPr>
              <w:t>Screen protector</w:t>
            </w:r>
          </w:p>
        </w:tc>
        <w:tc>
          <w:tcPr>
            <w:tcW w:type="dxa" w:w="2160"/>
            <w:vAlign w:val="top"/>
            <w:tcMar>
              <w:top w:w="70" w:type="dxa"/>
              <w:start w:w="90" w:type="dxa"/>
              <w:bottom w:w="70" w:type="dxa"/>
              <w:end w:w="90" w:type="dxa"/>
            </w:tcMar>
          </w:tcPr>
          <w:p>
            <w:pPr>
              <w:spacing w:after="0"/>
            </w:pPr>
            <w:r>
              <w:rPr>
                <w:sz w:val="18"/>
              </w:rPr>
              <w:t>Vendor C</w:t>
            </w:r>
          </w:p>
        </w:tc>
        <w:tc>
          <w:tcPr>
            <w:tcW w:type="dxa" w:w="3888"/>
            <w:vAlign w:val="top"/>
            <w:tcMar>
              <w:top w:w="70" w:type="dxa"/>
              <w:start w:w="90" w:type="dxa"/>
              <w:bottom w:w="70" w:type="dxa"/>
              <w:end w:w="90" w:type="dxa"/>
            </w:tcMar>
          </w:tcPr>
          <w:p>
            <w:pPr>
              <w:spacing w:after="0"/>
            </w:pPr>
            <w:r>
              <w:rPr>
                <w:sz w:val="18"/>
              </w:rPr>
              <w:t>Canceled</w:t>
            </w:r>
          </w:p>
        </w:tc>
        <w:tc>
          <w:tcPr>
            <w:tcW w:type="dxa" w:w="3312"/>
            <w:vAlign w:val="top"/>
            <w:tcMar>
              <w:top w:w="70" w:type="dxa"/>
              <w:start w:w="90" w:type="dxa"/>
              <w:bottom w:w="70" w:type="dxa"/>
              <w:end w:w="90" w:type="dxa"/>
            </w:tcMar>
          </w:tcPr>
          <w:p>
            <w:pPr>
              <w:spacing w:after="0"/>
            </w:pPr>
            <w:r>
              <w:rPr>
                <w:sz w:val="18"/>
              </w:rPr>
              <w:t>Excluded.</w:t>
            </w:r>
          </w:p>
        </w:tc>
      </w:tr>
    </w:tbl>
    <w:p>
      <w:pPr>
        <w:spacing w:after="20"/>
      </w:pPr>
    </w:p>
    <w:p>
      <w:pPr>
        <w:pStyle w:val="Heading1"/>
      </w:pPr>
      <w:r>
        <w:t>7. Apply Pricing and Commission Evidence</w:t>
      </w:r>
    </w:p>
    <w:p>
      <w:r>
        <w:t>Once a line is otherwise eligible, Invoice Management retrieves the applicable Pricing Snapshot and Commission Snapshot. It stores snapshot values as evidence but does not perform commercial calculations itself.</w:t>
      </w:r>
    </w:p>
    <w:tbl>
      <w:tblPr>
        <w:tblStyle w:val="TableGrid"/>
        <w:tblW w:type="auto" w:w="0"/>
        <w:tblLook w:firstColumn="1" w:firstRow="1" w:lastColumn="0" w:lastRow="0" w:noHBand="0" w:noVBand="1" w:val="04A0"/>
      </w:tblPr>
      <w:tblGrid>
        <w:gridCol w:w="10224"/>
      </w:tblGrid>
      <w:tr>
        <w:trPr>
          <w:cantSplit/>
        </w:trPr>
        <w:tc>
          <w:tcPr>
            <w:tcW w:type="dxa" w:w="10224"/>
            <w:shd w:fill="FCE4D6"/>
            <w:tcMar>
              <w:top w:w="100" w:type="dxa"/>
              <w:start w:w="110" w:type="dxa"/>
              <w:bottom w:w="100" w:type="dxa"/>
              <w:end w:w="110" w:type="dxa"/>
            </w:tcMar>
          </w:tcPr>
          <w:p>
            <w:pPr>
              <w:spacing w:after="0"/>
            </w:pPr>
            <w:r>
              <w:rPr>
                <w:b/>
                <w:color w:val="17365D"/>
                <w:sz w:val="21"/>
              </w:rPr>
              <w:t>No Recalculation</w:t>
              <w:br/>
            </w:r>
            <w:r>
              <w:rPr>
                <w:sz w:val="20"/>
              </w:rPr>
              <w:t>If Pricing returns configuration_required or required snapshot evidence is missing, Invoice Management creates a blocking/review exception and does not guess an amount. No commission percentage or wholesale formula should be hard-coded inside Invoice Management.</w:t>
            </w:r>
          </w:p>
        </w:tc>
      </w:tr>
    </w:tbl>
    <w:p>
      <w:pPr>
        <w:spacing w:after="20"/>
      </w:pPr>
    </w:p>
    <w:p>
      <w:r>
        <w:t>Current CIXCI commercial policy may use a default buyer-side commission, Vendor Wholesale Price, and vendor-side commission exceptions. Those rules belong to Pricing. Invoice Management should only consume the resulting immutable pricing/commission evidence.</w:t>
      </w:r>
    </w:p>
    <w:p>
      <w:pPr>
        <w:pStyle w:val="Heading1"/>
      </w:pPr>
      <w:r>
        <w:t>8. Create Invoice Lines</w:t>
      </w:r>
    </w:p>
    <w:p>
      <w:pPr>
        <w:spacing w:after="40"/>
      </w:pPr>
      <w:r/>
      <w:r>
        <w:t>1.  Create an Invoice Line only when the required source evidence is present and valid.</w:t>
      </w:r>
    </w:p>
    <w:p>
      <w:pPr>
        <w:spacing w:after="40"/>
      </w:pPr>
      <w:r/>
      <w:r>
        <w:t>2.  Persist source references to the Order/Suborder/Order Line, delivery evidence, Pricing Snapshot, Commission Snapshot, and applicable company/counterparty scope.</w:t>
      </w:r>
    </w:p>
    <w:p>
      <w:pPr>
        <w:spacing w:after="40"/>
      </w:pPr>
      <w:r/>
      <w:r>
        <w:t>3.  Use idempotency based on Invoice Period + Counterparty + Source Order Line Reference so a rerun does not create a duplicate financial line.</w:t>
      </w:r>
    </w:p>
    <w:p>
      <w:pPr>
        <w:spacing w:after="40"/>
      </w:pPr>
      <w:r/>
      <w:r>
        <w:t>4.  Store the snapshot values needed to reconstruct what was invoiced at that time.</w:t>
      </w:r>
    </w:p>
    <w:p>
      <w:pPr>
        <w:spacing w:after="40"/>
      </w:pPr>
      <w:r/>
      <w:r>
        <w:t>5.  After the protected lifecycle point, treat the Invoice Line as immutable. Corrections create an Invoice Adjustment or superseding record rather than rewriting the line.</w:t>
      </w:r>
    </w:p>
    <w:p>
      <w:pPr>
        <w:pStyle w:val="Heading1"/>
      </w:pPr>
      <w:r>
        <w:t>9. Return / Refund Adjustment Flow</w:t>
      </w:r>
    </w:p>
    <w:tbl>
      <w:tblPr>
        <w:tblStyle w:val="TableGrid"/>
        <w:tblW w:type="auto" w:w="0"/>
        <w:tblLook w:firstColumn="1" w:firstRow="1" w:lastColumn="0" w:lastRow="0" w:noHBand="0" w:noVBand="1" w:val="04A0"/>
      </w:tblPr>
      <w:tblGrid>
        <w:gridCol w:w="10224"/>
      </w:tblGrid>
      <w:tr>
        <w:trPr>
          <w:cantSplit/>
        </w:trPr>
        <w:tc>
          <w:tcPr>
            <w:tcW w:type="dxa" w:w="10224"/>
            <w:shd w:fill="FCE4D6"/>
            <w:tcMar>
              <w:top w:w="100" w:type="dxa"/>
              <w:start w:w="110" w:type="dxa"/>
              <w:bottom w:w="100" w:type="dxa"/>
              <w:end w:w="110" w:type="dxa"/>
            </w:tcMar>
          </w:tcPr>
          <w:p>
            <w:pPr>
              <w:spacing w:after="0"/>
            </w:pPr>
            <w:r>
              <w:rPr>
                <w:b/>
                <w:color w:val="17365D"/>
                <w:sz w:val="21"/>
              </w:rPr>
              <w:t>Refund Rule</w:t>
              <w:br/>
            </w:r>
            <w:r>
              <w:rPr>
                <w:sz w:val="20"/>
              </w:rPr>
              <w:t>Refund adjustment eligibility requires BOTH source refund evidence from Fulfillment/Returns AND Pricing adjustment evidence. A Vendor-reported refund alone does not reduce the invoiceable amount.</w:t>
            </w:r>
          </w:p>
        </w:tc>
      </w:tr>
    </w:tbl>
    <w:p>
      <w:pPr>
        <w:spacing w:after="20"/>
      </w:pP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472"/>
            <w:shd w:fill="17365D"/>
            <w:vAlign w:val="center"/>
            <w:tcMar>
              <w:top w:w="70" w:type="dxa"/>
              <w:start w:w="90" w:type="dxa"/>
              <w:bottom w:w="70" w:type="dxa"/>
              <w:end w:w="90" w:type="dxa"/>
            </w:tcMar>
          </w:tcPr>
          <w:p>
            <w:pPr>
              <w:spacing w:after="0"/>
            </w:pPr>
            <w:r>
              <w:rPr>
                <w:b/>
                <w:color w:val="FFFFFF"/>
                <w:sz w:val="18"/>
              </w:rPr>
              <w:t>Return State</w:t>
            </w:r>
          </w:p>
        </w:tc>
        <w:tc>
          <w:tcPr>
            <w:tcW w:type="dxa" w:w="5616"/>
            <w:shd w:fill="17365D"/>
            <w:vAlign w:val="center"/>
            <w:tcMar>
              <w:top w:w="70" w:type="dxa"/>
              <w:start w:w="90" w:type="dxa"/>
              <w:bottom w:w="70" w:type="dxa"/>
              <w:end w:w="90" w:type="dxa"/>
            </w:tcMar>
          </w:tcPr>
          <w:p>
            <w:pPr>
              <w:spacing w:after="0"/>
            </w:pPr>
            <w:r>
              <w:rPr>
                <w:b/>
                <w:color w:val="FFFFFF"/>
                <w:sz w:val="18"/>
              </w:rPr>
              <w:t>Invoice Behavior</w:t>
            </w:r>
          </w:p>
        </w:tc>
      </w:tr>
      <w:tr>
        <w:trPr>
          <w:cantSplit/>
        </w:trPr>
        <w:tc>
          <w:tcPr>
            <w:tcW w:type="dxa" w:w="5472"/>
            <w:vAlign w:val="top"/>
            <w:tcMar>
              <w:top w:w="70" w:type="dxa"/>
              <w:start w:w="90" w:type="dxa"/>
              <w:bottom w:w="70" w:type="dxa"/>
              <w:end w:w="90" w:type="dxa"/>
            </w:tcMar>
          </w:tcPr>
          <w:p>
            <w:pPr>
              <w:spacing w:after="0"/>
            </w:pPr>
            <w:r>
              <w:rPr>
                <w:sz w:val="18"/>
              </w:rPr>
              <w:t>Return initiated</w:t>
            </w:r>
          </w:p>
        </w:tc>
        <w:tc>
          <w:tcPr>
            <w:tcW w:type="dxa" w:w="5616"/>
            <w:vAlign w:val="top"/>
            <w:tcMar>
              <w:top w:w="70" w:type="dxa"/>
              <w:start w:w="90" w:type="dxa"/>
              <w:bottom w:w="70" w:type="dxa"/>
              <w:end w:w="90" w:type="dxa"/>
            </w:tcMar>
          </w:tcPr>
          <w:p>
            <w:pPr>
              <w:spacing w:after="0"/>
            </w:pPr>
            <w:r>
              <w:rPr>
                <w:sz w:val="18"/>
              </w:rPr>
              <w:t>No invoice reduction yet.</w:t>
            </w:r>
          </w:p>
        </w:tc>
      </w:tr>
      <w:tr>
        <w:trPr>
          <w:cantSplit/>
        </w:trPr>
        <w:tc>
          <w:tcPr>
            <w:tcW w:type="dxa" w:w="5472"/>
            <w:vAlign w:val="top"/>
            <w:tcMar>
              <w:top w:w="70" w:type="dxa"/>
              <w:start w:w="90" w:type="dxa"/>
              <w:bottom w:w="70" w:type="dxa"/>
              <w:end w:w="90" w:type="dxa"/>
            </w:tcMar>
          </w:tcPr>
          <w:p>
            <w:pPr>
              <w:spacing w:after="0"/>
            </w:pPr>
            <w:r>
              <w:rPr>
                <w:sz w:val="18"/>
              </w:rPr>
              <w:t>Return received</w:t>
            </w:r>
          </w:p>
        </w:tc>
        <w:tc>
          <w:tcPr>
            <w:tcW w:type="dxa" w:w="5616"/>
            <w:vAlign w:val="top"/>
            <w:tcMar>
              <w:top w:w="70" w:type="dxa"/>
              <w:start w:w="90" w:type="dxa"/>
              <w:bottom w:w="70" w:type="dxa"/>
              <w:end w:w="90" w:type="dxa"/>
            </w:tcMar>
          </w:tcPr>
          <w:p>
            <w:pPr>
              <w:spacing w:after="0"/>
            </w:pPr>
            <w:r>
              <w:rPr>
                <w:sz w:val="18"/>
              </w:rPr>
              <w:t>No automatic invoice reduction.</w:t>
            </w:r>
          </w:p>
        </w:tc>
      </w:tr>
      <w:tr>
        <w:trPr>
          <w:cantSplit/>
        </w:trPr>
        <w:tc>
          <w:tcPr>
            <w:tcW w:type="dxa" w:w="5472"/>
            <w:vAlign w:val="top"/>
            <w:tcMar>
              <w:top w:w="70" w:type="dxa"/>
              <w:start w:w="90" w:type="dxa"/>
              <w:bottom w:w="70" w:type="dxa"/>
              <w:end w:w="90" w:type="dxa"/>
            </w:tcMar>
          </w:tcPr>
          <w:p>
            <w:pPr>
              <w:spacing w:after="0"/>
            </w:pPr>
            <w:r>
              <w:rPr>
                <w:sz w:val="18"/>
              </w:rPr>
              <w:t>Return rejected</w:t>
            </w:r>
          </w:p>
        </w:tc>
        <w:tc>
          <w:tcPr>
            <w:tcW w:type="dxa" w:w="5616"/>
            <w:vAlign w:val="top"/>
            <w:tcMar>
              <w:top w:w="70" w:type="dxa"/>
              <w:start w:w="90" w:type="dxa"/>
              <w:bottom w:w="70" w:type="dxa"/>
              <w:end w:w="90" w:type="dxa"/>
            </w:tcMar>
          </w:tcPr>
          <w:p>
            <w:pPr>
              <w:spacing w:after="0"/>
            </w:pPr>
            <w:r>
              <w:rPr>
                <w:sz w:val="18"/>
              </w:rPr>
              <w:t>Reportable if needed, but no reduction by default.</w:t>
            </w:r>
          </w:p>
        </w:tc>
      </w:tr>
      <w:tr>
        <w:trPr>
          <w:cantSplit/>
        </w:trPr>
        <w:tc>
          <w:tcPr>
            <w:tcW w:type="dxa" w:w="5472"/>
            <w:vAlign w:val="top"/>
            <w:tcMar>
              <w:top w:w="70" w:type="dxa"/>
              <w:start w:w="90" w:type="dxa"/>
              <w:bottom w:w="70" w:type="dxa"/>
              <w:end w:w="90" w:type="dxa"/>
            </w:tcMar>
          </w:tcPr>
          <w:p>
            <w:pPr>
              <w:spacing w:after="0"/>
            </w:pPr>
            <w:r>
              <w:rPr>
                <w:sz w:val="18"/>
              </w:rPr>
              <w:t>Return Refunded + source refund evidence + Pricing adjustment evidence</w:t>
            </w:r>
          </w:p>
        </w:tc>
        <w:tc>
          <w:tcPr>
            <w:tcW w:type="dxa" w:w="5616"/>
            <w:vAlign w:val="top"/>
            <w:tcMar>
              <w:top w:w="70" w:type="dxa"/>
              <w:start w:w="90" w:type="dxa"/>
              <w:bottom w:w="70" w:type="dxa"/>
              <w:end w:w="90" w:type="dxa"/>
            </w:tcMar>
          </w:tcPr>
          <w:p>
            <w:pPr>
              <w:spacing w:after="0"/>
            </w:pPr>
            <w:r>
              <w:rPr>
                <w:sz w:val="18"/>
              </w:rPr>
              <w:t>Adjustment eligible.</w:t>
            </w:r>
          </w:p>
        </w:tc>
      </w:tr>
      <w:tr>
        <w:trPr>
          <w:cantSplit/>
        </w:trPr>
        <w:tc>
          <w:tcPr>
            <w:tcW w:type="dxa" w:w="5472"/>
            <w:vAlign w:val="top"/>
            <w:tcMar>
              <w:top w:w="70" w:type="dxa"/>
              <w:start w:w="90" w:type="dxa"/>
              <w:bottom w:w="70" w:type="dxa"/>
              <w:end w:w="90" w:type="dxa"/>
            </w:tcMar>
          </w:tcPr>
          <w:p>
            <w:pPr>
              <w:spacing w:after="0"/>
            </w:pPr>
            <w:r>
              <w:rPr>
                <w:sz w:val="18"/>
              </w:rPr>
              <w:t>Vendor reconciliation file claims refund but CIXCI evidence is missing</w:t>
            </w:r>
          </w:p>
        </w:tc>
        <w:tc>
          <w:tcPr>
            <w:tcW w:type="dxa" w:w="5616"/>
            <w:vAlign w:val="top"/>
            <w:tcMar>
              <w:top w:w="70" w:type="dxa"/>
              <w:start w:w="90" w:type="dxa"/>
              <w:bottom w:w="70" w:type="dxa"/>
              <w:end w:w="90" w:type="dxa"/>
            </w:tcMar>
          </w:tcPr>
          <w:p>
            <w:pPr>
              <w:spacing w:after="0"/>
            </w:pPr>
            <w:r>
              <w:rPr>
                <w:sz w:val="18"/>
              </w:rPr>
              <w:t>Mismatch / Invoice Exception; do not reduce amount automatically.</w:t>
            </w:r>
          </w:p>
        </w:tc>
      </w:tr>
    </w:tbl>
    <w:p>
      <w:pPr>
        <w:spacing w:after="20"/>
      </w:pPr>
    </w:p>
    <w:p>
      <w:pPr>
        <w:pStyle w:val="Heading2"/>
      </w:pPr>
      <w:r>
        <w:t>9.1 Late Refunds</w:t>
      </w:r>
    </w:p>
    <w:p>
      <w:r>
        <w:t>If the refund occurs after the original Invoice Line was already issued/finalized, the original line remains unchanged. Create a later-period Invoice Adjustment linked to the original Invoice Line.</w:t>
      </w:r>
    </w:p>
    <w:tbl>
      <w:tblPr>
        <w:tblStyle w:val="TableGrid"/>
        <w:tblW w:type="auto" w:w="0"/>
        <w:tblLook w:firstColumn="1" w:firstRow="1" w:lastColumn="0" w:lastRow="0" w:noHBand="0" w:noVBand="1" w:val="04A0"/>
      </w:tblPr>
      <w:tblGrid>
        <w:gridCol w:w="10224"/>
      </w:tblGrid>
      <w:tr>
        <w:trPr>
          <w:cantSplit/>
        </w:trPr>
        <w:tc>
          <w:tcPr>
            <w:tcW w:type="dxa" w:w="10224"/>
            <w:shd w:fill="D9EAF7"/>
            <w:tcMar>
              <w:top w:w="100" w:type="dxa"/>
              <w:start w:w="110" w:type="dxa"/>
              <w:bottom w:w="100" w:type="dxa"/>
              <w:end w:w="110" w:type="dxa"/>
            </w:tcMar>
          </w:tcPr>
          <w:p>
            <w:pPr>
              <w:spacing w:after="0"/>
            </w:pPr>
            <w:r>
              <w:rPr>
                <w:b/>
                <w:color w:val="17365D"/>
                <w:sz w:val="21"/>
              </w:rPr>
              <w:t>Example</w:t>
              <w:br/>
            </w:r>
            <w:r>
              <w:rPr>
                <w:sz w:val="20"/>
              </w:rPr>
              <w:t>September Invoice Line remains unchanged. A refund occurs in October. October receives an Invoice Adjustment (for example, late_refund) referencing the September Invoice Line and using Pricing adjustment evidence.</w:t>
            </w:r>
          </w:p>
        </w:tc>
      </w:tr>
    </w:tbl>
    <w:p>
      <w:pPr>
        <w:spacing w:after="20"/>
      </w:pPr>
    </w:p>
    <w:p>
      <w:pPr>
        <w:pStyle w:val="Heading1"/>
      </w:pPr>
      <w:r>
        <w:t>10. Generate Invoice Report / Invoice</w:t>
      </w:r>
    </w:p>
    <w:p>
      <w:r>
        <w:t>Eligible Invoice Lines and adjustments are grouped into the appropriate counterparty-scoped Invoice Report and Invoice. The architecture uses one Invoice entity family with an invoice_type discriminator rather than separate incompatible engines.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888"/>
            <w:shd w:fill="17365D"/>
            <w:vAlign w:val="center"/>
            <w:tcMar>
              <w:top w:w="70" w:type="dxa"/>
              <w:start w:w="90" w:type="dxa"/>
              <w:bottom w:w="70" w:type="dxa"/>
              <w:end w:w="90" w:type="dxa"/>
            </w:tcMar>
          </w:tcPr>
          <w:p>
            <w:pPr>
              <w:spacing w:after="0"/>
            </w:pPr>
            <w:r>
              <w:rPr>
                <w:b/>
                <w:color w:val="FFFFFF"/>
                <w:sz w:val="18"/>
              </w:rPr>
              <w:t>invoice_type</w:t>
            </w:r>
          </w:p>
        </w:tc>
        <w:tc>
          <w:tcPr>
            <w:tcW w:type="dxa" w:w="7200"/>
            <w:shd w:fill="17365D"/>
            <w:vAlign w:val="center"/>
            <w:tcMar>
              <w:top w:w="70" w:type="dxa"/>
              <w:start w:w="90" w:type="dxa"/>
              <w:bottom w:w="70" w:type="dxa"/>
              <w:end w:w="90" w:type="dxa"/>
            </w:tcMar>
          </w:tcPr>
          <w:p>
            <w:pPr>
              <w:spacing w:after="0"/>
            </w:pPr>
            <w:r>
              <w:rPr>
                <w:b/>
                <w:color w:val="FFFFFF"/>
                <w:sz w:val="18"/>
              </w:rPr>
              <w:t>Purpose</w:t>
            </w:r>
          </w:p>
        </w:tc>
      </w:tr>
      <w:tr>
        <w:trPr>
          <w:cantSplit/>
        </w:trPr>
        <w:tc>
          <w:tcPr>
            <w:tcW w:type="dxa" w:w="3888"/>
            <w:vAlign w:val="top"/>
            <w:tcMar>
              <w:top w:w="70" w:type="dxa"/>
              <w:start w:w="90" w:type="dxa"/>
              <w:bottom w:w="70" w:type="dxa"/>
              <w:end w:w="90" w:type="dxa"/>
            </w:tcMar>
          </w:tcPr>
          <w:p>
            <w:pPr>
              <w:spacing w:after="0"/>
            </w:pPr>
            <w:r>
              <w:rPr>
                <w:sz w:val="18"/>
              </w:rPr>
              <w:t>buyer_invoice</w:t>
            </w:r>
          </w:p>
        </w:tc>
        <w:tc>
          <w:tcPr>
            <w:tcW w:type="dxa" w:w="7200"/>
            <w:vAlign w:val="top"/>
            <w:tcMar>
              <w:top w:w="70" w:type="dxa"/>
              <w:start w:w="90" w:type="dxa"/>
              <w:bottom w:w="70" w:type="dxa"/>
              <w:end w:w="90" w:type="dxa"/>
            </w:tcMar>
          </w:tcPr>
          <w:p>
            <w:pPr>
              <w:spacing w:after="0"/>
            </w:pPr>
            <w:r>
              <w:rPr>
                <w:sz w:val="18"/>
              </w:rPr>
              <w:t>Buyer-facing invoice record.</w:t>
            </w:r>
          </w:p>
        </w:tc>
      </w:tr>
      <w:tr>
        <w:trPr>
          <w:cantSplit/>
        </w:trPr>
        <w:tc>
          <w:tcPr>
            <w:tcW w:type="dxa" w:w="3888"/>
            <w:vAlign w:val="top"/>
            <w:tcMar>
              <w:top w:w="70" w:type="dxa"/>
              <w:start w:w="90" w:type="dxa"/>
              <w:bottom w:w="70" w:type="dxa"/>
              <w:end w:w="90" w:type="dxa"/>
            </w:tcMar>
          </w:tcPr>
          <w:p>
            <w:pPr>
              <w:spacing w:after="0"/>
            </w:pPr>
            <w:r>
              <w:rPr>
                <w:sz w:val="18"/>
              </w:rPr>
              <w:t>vendor_statement</w:t>
            </w:r>
          </w:p>
        </w:tc>
        <w:tc>
          <w:tcPr>
            <w:tcW w:type="dxa" w:w="7200"/>
            <w:vAlign w:val="top"/>
            <w:tcMar>
              <w:top w:w="70" w:type="dxa"/>
              <w:start w:w="90" w:type="dxa"/>
              <w:bottom w:w="70" w:type="dxa"/>
              <w:end w:w="90" w:type="dxa"/>
            </w:tcMar>
          </w:tcPr>
          <w:p>
            <w:pPr>
              <w:spacing w:after="0"/>
            </w:pPr>
            <w:r>
              <w:rPr>
                <w:sz w:val="18"/>
              </w:rPr>
              <w:t>Vendor statement view.</w:t>
            </w:r>
          </w:p>
        </w:tc>
      </w:tr>
      <w:tr>
        <w:trPr>
          <w:cantSplit/>
        </w:trPr>
        <w:tc>
          <w:tcPr>
            <w:tcW w:type="dxa" w:w="3888"/>
            <w:vAlign w:val="top"/>
            <w:tcMar>
              <w:top w:w="70" w:type="dxa"/>
              <w:start w:w="90" w:type="dxa"/>
              <w:bottom w:w="70" w:type="dxa"/>
              <w:end w:w="90" w:type="dxa"/>
            </w:tcMar>
          </w:tcPr>
          <w:p>
            <w:pPr>
              <w:spacing w:after="0"/>
            </w:pPr>
            <w:r>
              <w:rPr>
                <w:sz w:val="18"/>
              </w:rPr>
              <w:t>vendor_payable_package</w:t>
            </w:r>
          </w:p>
        </w:tc>
        <w:tc>
          <w:tcPr>
            <w:tcW w:type="dxa" w:w="7200"/>
            <w:vAlign w:val="top"/>
            <w:tcMar>
              <w:top w:w="70" w:type="dxa"/>
              <w:start w:w="90" w:type="dxa"/>
              <w:bottom w:w="70" w:type="dxa"/>
              <w:end w:w="90" w:type="dxa"/>
            </w:tcMar>
          </w:tcPr>
          <w:p>
            <w:pPr>
              <w:spacing w:after="0"/>
            </w:pPr>
            <w:r>
              <w:rPr>
                <w:sz w:val="18"/>
              </w:rPr>
              <w:t>Approved-ready vendor payable package.</w:t>
            </w:r>
          </w:p>
        </w:tc>
      </w:tr>
      <w:tr>
        <w:trPr>
          <w:cantSplit/>
        </w:trPr>
        <w:tc>
          <w:tcPr>
            <w:tcW w:type="dxa" w:w="3888"/>
            <w:vAlign w:val="top"/>
            <w:tcMar>
              <w:top w:w="70" w:type="dxa"/>
              <w:start w:w="90" w:type="dxa"/>
              <w:bottom w:w="70" w:type="dxa"/>
              <w:end w:w="90" w:type="dxa"/>
            </w:tcMar>
          </w:tcPr>
          <w:p>
            <w:pPr>
              <w:spacing w:after="0"/>
            </w:pPr>
            <w:r>
              <w:rPr>
                <w:sz w:val="18"/>
              </w:rPr>
              <w:t>commission_report</w:t>
            </w:r>
          </w:p>
        </w:tc>
        <w:tc>
          <w:tcPr>
            <w:tcW w:type="dxa" w:w="7200"/>
            <w:vAlign w:val="top"/>
            <w:tcMar>
              <w:top w:w="70" w:type="dxa"/>
              <w:start w:w="90" w:type="dxa"/>
              <w:bottom w:w="70" w:type="dxa"/>
              <w:end w:w="90" w:type="dxa"/>
            </w:tcMar>
          </w:tcPr>
          <w:p>
            <w:pPr>
              <w:spacing w:after="0"/>
            </w:pPr>
            <w:r>
              <w:rPr>
                <w:sz w:val="18"/>
              </w:rPr>
              <w:t>Commission reporting view.</w:t>
            </w:r>
          </w:p>
        </w:tc>
      </w:tr>
      <w:tr>
        <w:trPr>
          <w:cantSplit/>
        </w:trPr>
        <w:tc>
          <w:tcPr>
            <w:tcW w:type="dxa" w:w="3888"/>
            <w:vAlign w:val="top"/>
            <w:tcMar>
              <w:top w:w="70" w:type="dxa"/>
              <w:start w:w="90" w:type="dxa"/>
              <w:bottom w:w="70" w:type="dxa"/>
              <w:end w:w="90" w:type="dxa"/>
            </w:tcMar>
          </w:tcPr>
          <w:p>
            <w:pPr>
              <w:spacing w:after="0"/>
            </w:pPr>
            <w:r>
              <w:rPr>
                <w:sz w:val="18"/>
              </w:rPr>
              <w:t>adjustment_report</w:t>
            </w:r>
          </w:p>
        </w:tc>
        <w:tc>
          <w:tcPr>
            <w:tcW w:type="dxa" w:w="7200"/>
            <w:vAlign w:val="top"/>
            <w:tcMar>
              <w:top w:w="70" w:type="dxa"/>
              <w:start w:w="90" w:type="dxa"/>
              <w:bottom w:w="70" w:type="dxa"/>
              <w:end w:w="90" w:type="dxa"/>
            </w:tcMar>
          </w:tcPr>
          <w:p>
            <w:pPr>
              <w:spacing w:after="0"/>
            </w:pPr>
            <w:r>
              <w:rPr>
                <w:sz w:val="18"/>
              </w:rPr>
              <w:t>Adjustment/refund reporting view.</w:t>
            </w:r>
          </w:p>
        </w:tc>
      </w:tr>
      <w:tr>
        <w:trPr>
          <w:cantSplit/>
        </w:trPr>
        <w:tc>
          <w:tcPr>
            <w:tcW w:type="dxa" w:w="3888"/>
            <w:vAlign w:val="top"/>
            <w:tcMar>
              <w:top w:w="70" w:type="dxa"/>
              <w:start w:w="90" w:type="dxa"/>
              <w:bottom w:w="70" w:type="dxa"/>
              <w:end w:w="90" w:type="dxa"/>
            </w:tcMar>
          </w:tcPr>
          <w:p>
            <w:pPr>
              <w:spacing w:after="0"/>
            </w:pPr>
            <w:r>
              <w:rPr>
                <w:sz w:val="18"/>
              </w:rPr>
              <w:t>internal_admin_invoice_report</w:t>
            </w:r>
          </w:p>
        </w:tc>
        <w:tc>
          <w:tcPr>
            <w:tcW w:type="dxa" w:w="7200"/>
            <w:vAlign w:val="top"/>
            <w:tcMar>
              <w:top w:w="70" w:type="dxa"/>
              <w:start w:w="90" w:type="dxa"/>
              <w:bottom w:w="70" w:type="dxa"/>
              <w:end w:w="90" w:type="dxa"/>
            </w:tcMar>
          </w:tcPr>
          <w:p>
            <w:pPr>
              <w:spacing w:after="0"/>
            </w:pPr>
            <w:r>
              <w:rPr>
                <w:sz w:val="18"/>
              </w:rPr>
              <w:t>CIXCI internal administrative/reporting view.</w:t>
            </w:r>
          </w:p>
        </w:tc>
      </w:tr>
    </w:tbl>
    <w:p>
      <w:pPr>
        <w:spacing w:after="20"/>
      </w:pPr>
    </w:p>
    <w:p>
      <w:r>
        <w:t>Parent/child/billing-profile grouping remains configuration-driven. The implementation should carry company_scope_reference and billing_profile_reference and should not invent one permanent grouping rule if it is not configured.</w:t>
      </w:r>
    </w:p>
    <w:p>
      <w:pPr>
        <w:pStyle w:val="Heading1"/>
      </w:pPr>
      <w:r>
        <w:t>11. Vendor Month-End Reconciliation Flow</w:t>
      </w:r>
    </w:p>
    <w:p>
      <w:pPr>
        <w:spacing w:after="20" w:before="0"/>
        <w:jc w:val="center"/>
      </w:pPr>
      <w:r>
        <w:rPr>
          <w:b/>
          <w:color w:val="1F4E78"/>
          <w:sz w:val="19"/>
        </w:rPr>
        <w:t>Vendor Uploads Reconciliation File</w:t>
      </w:r>
    </w:p>
    <w:p>
      <w:pPr>
        <w:spacing w:after="20" w:before="0"/>
        <w:jc w:val="center"/>
      </w:pPr>
      <w:r>
        <w:rPr>
          <w:b/>
          <w:color w:val="1F4E78"/>
          <w:sz w:val="19"/>
        </w:rPr>
        <w:t>↓</w:t>
      </w:r>
    </w:p>
    <w:p>
      <w:pPr>
        <w:spacing w:after="20" w:before="0"/>
        <w:jc w:val="center"/>
      </w:pPr>
      <w:r>
        <w:rPr>
          <w:b/>
          <w:color w:val="1F4E78"/>
          <w:sz w:val="19"/>
        </w:rPr>
        <w:t>Validate Structure / Identifiers / Duplicates</w:t>
      </w:r>
    </w:p>
    <w:p>
      <w:pPr>
        <w:spacing w:after="20" w:before="0"/>
        <w:jc w:val="center"/>
      </w:pPr>
      <w:r>
        <w:rPr>
          <w:b/>
          <w:color w:val="1F4E78"/>
          <w:sz w:val="19"/>
        </w:rPr>
        <w:t>↓</w:t>
      </w:r>
    </w:p>
    <w:p>
      <w:pPr>
        <w:spacing w:after="20" w:before="0"/>
        <w:jc w:val="center"/>
      </w:pPr>
      <w:r>
        <w:rPr>
          <w:b/>
          <w:color w:val="1F4E78"/>
          <w:sz w:val="19"/>
        </w:rPr>
        <w:t>Create Read-Only Upload Rows</w:t>
      </w:r>
    </w:p>
    <w:p>
      <w:pPr>
        <w:spacing w:after="20" w:before="0"/>
        <w:jc w:val="center"/>
      </w:pPr>
      <w:r>
        <w:rPr>
          <w:b/>
          <w:color w:val="1F4E78"/>
          <w:sz w:val="19"/>
        </w:rPr>
        <w:t>↓</w:t>
      </w:r>
    </w:p>
    <w:p>
      <w:pPr>
        <w:spacing w:after="20" w:before="0"/>
        <w:jc w:val="center"/>
      </w:pPr>
      <w:r>
        <w:rPr>
          <w:b/>
          <w:color w:val="1F4E78"/>
          <w:sz w:val="19"/>
        </w:rPr>
        <w:t>Compare Vendor-Reported Values to CIXCI Source Evidence</w:t>
      </w:r>
    </w:p>
    <w:p>
      <w:pPr>
        <w:spacing w:after="20" w:before="0"/>
        <w:jc w:val="center"/>
      </w:pPr>
      <w:r>
        <w:rPr>
          <w:b/>
          <w:color w:val="1F4E78"/>
          <w:sz w:val="19"/>
        </w:rPr>
        <w:t>↓</w:t>
      </w:r>
    </w:p>
    <w:p>
      <w:pPr>
        <w:spacing w:after="20" w:before="0"/>
        <w:jc w:val="center"/>
      </w:pPr>
      <w:r>
        <w:rPr>
          <w:b/>
          <w:color w:val="1F4E78"/>
          <w:sz w:val="19"/>
        </w:rPr>
        <w:t>Create Match Results and Exceptions</w:t>
      </w:r>
    </w:p>
    <w:tbl>
      <w:tblPr>
        <w:tblStyle w:val="TableGrid"/>
        <w:tblW w:type="auto" w:w="0"/>
        <w:tblLook w:firstColumn="1" w:firstRow="1" w:lastColumn="0" w:lastRow="0" w:noHBand="0" w:noVBand="1" w:val="04A0"/>
      </w:tblPr>
      <w:tblGrid>
        <w:gridCol w:w="10224"/>
      </w:tblGrid>
      <w:tr>
        <w:trPr>
          <w:cantSplit/>
        </w:trPr>
        <w:tc>
          <w:tcPr>
            <w:tcW w:type="dxa" w:w="10224"/>
            <w:shd w:fill="FCE4D6"/>
            <w:tcMar>
              <w:top w:w="100" w:type="dxa"/>
              <w:start w:w="110" w:type="dxa"/>
              <w:bottom w:w="100" w:type="dxa"/>
              <w:end w:w="110" w:type="dxa"/>
            </w:tcMar>
          </w:tcPr>
          <w:p>
            <w:pPr>
              <w:spacing w:after="0"/>
            </w:pPr>
            <w:r>
              <w:rPr>
                <w:b/>
                <w:color w:val="17365D"/>
                <w:sz w:val="21"/>
              </w:rPr>
              <w:t>Critical Guardrail</w:t>
              <w:br/>
            </w:r>
            <w:r>
              <w:rPr>
                <w:sz w:val="20"/>
              </w:rPr>
              <w:t>The Vendor reconciliation file is comparison evidence, not source truth. Upload rows must never mutate Order Routing, Fulfillment/Returns, Pricing, Product Catalog, Tenant Company, Logs &amp; Audit, Integration Management, or QuickBooks records.</w:t>
            </w:r>
          </w:p>
        </w:tc>
      </w:tr>
    </w:tbl>
    <w:p>
      <w:pPr>
        <w:spacing w:after="20"/>
      </w:pPr>
    </w:p>
    <w:p>
      <w:pPr>
        <w:pStyle w:val="Heading2"/>
      </w:pPr>
      <w:r>
        <w:t>11.1 Reconciliation Job Statuses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864"/>
            <w:shd w:fill="17365D"/>
            <w:vAlign w:val="center"/>
            <w:tcMar>
              <w:top w:w="70" w:type="dxa"/>
              <w:start w:w="90" w:type="dxa"/>
              <w:bottom w:w="70" w:type="dxa"/>
              <w:end w:w="90" w:type="dxa"/>
            </w:tcMar>
          </w:tcPr>
          <w:p>
            <w:pPr>
              <w:spacing w:after="0"/>
            </w:pPr>
            <w:r>
              <w:rPr>
                <w:b/>
                <w:color w:val="FFFFFF"/>
                <w:sz w:val="18"/>
              </w:rPr>
              <w:t>#</w:t>
            </w:r>
          </w:p>
        </w:tc>
        <w:tc>
          <w:tcPr>
            <w:tcW w:type="dxa" w:w="9648"/>
            <w:shd w:fill="17365D"/>
            <w:vAlign w:val="center"/>
            <w:tcMar>
              <w:top w:w="70" w:type="dxa"/>
              <w:start w:w="90" w:type="dxa"/>
              <w:bottom w:w="70" w:type="dxa"/>
              <w:end w:w="90" w:type="dxa"/>
            </w:tcMar>
          </w:tcPr>
          <w:p>
            <w:pPr>
              <w:spacing w:after="0"/>
            </w:pPr>
            <w:r>
              <w:rPr>
                <w:b/>
                <w:color w:val="FFFFFF"/>
                <w:sz w:val="18"/>
              </w:rPr>
              <w:t>Status</w:t>
            </w:r>
          </w:p>
        </w:tc>
      </w:tr>
      <w:tr>
        <w:trPr>
          <w:cantSplit/>
        </w:trPr>
        <w:tc>
          <w:tcPr>
            <w:tcW w:type="dxa" w:w="864"/>
            <w:vAlign w:val="top"/>
            <w:tcMar>
              <w:top w:w="70" w:type="dxa"/>
              <w:start w:w="90" w:type="dxa"/>
              <w:bottom w:w="70" w:type="dxa"/>
              <w:end w:w="90" w:type="dxa"/>
            </w:tcMar>
          </w:tcPr>
          <w:p>
            <w:pPr>
              <w:spacing w:after="0"/>
            </w:pPr>
            <w:r>
              <w:rPr>
                <w:sz w:val="18"/>
              </w:rPr>
              <w:t>1</w:t>
            </w:r>
          </w:p>
        </w:tc>
        <w:tc>
          <w:tcPr>
            <w:tcW w:type="dxa" w:w="9648"/>
            <w:vAlign w:val="top"/>
            <w:tcMar>
              <w:top w:w="70" w:type="dxa"/>
              <w:start w:w="90" w:type="dxa"/>
              <w:bottom w:w="70" w:type="dxa"/>
              <w:end w:w="90" w:type="dxa"/>
            </w:tcMar>
          </w:tcPr>
          <w:p>
            <w:pPr>
              <w:spacing w:after="0"/>
            </w:pPr>
            <w:r>
              <w:rPr>
                <w:sz w:val="18"/>
              </w:rPr>
              <w:t>uploaded</w:t>
            </w:r>
          </w:p>
        </w:tc>
      </w:tr>
      <w:tr>
        <w:trPr>
          <w:cantSplit/>
        </w:trPr>
        <w:tc>
          <w:tcPr>
            <w:tcW w:type="dxa" w:w="864"/>
            <w:vAlign w:val="top"/>
            <w:tcMar>
              <w:top w:w="70" w:type="dxa"/>
              <w:start w:w="90" w:type="dxa"/>
              <w:bottom w:w="70" w:type="dxa"/>
              <w:end w:w="90" w:type="dxa"/>
            </w:tcMar>
          </w:tcPr>
          <w:p>
            <w:pPr>
              <w:spacing w:after="0"/>
            </w:pPr>
            <w:r>
              <w:rPr>
                <w:sz w:val="18"/>
              </w:rPr>
              <w:t>2</w:t>
            </w:r>
          </w:p>
        </w:tc>
        <w:tc>
          <w:tcPr>
            <w:tcW w:type="dxa" w:w="9648"/>
            <w:vAlign w:val="top"/>
            <w:tcMar>
              <w:top w:w="70" w:type="dxa"/>
              <w:start w:w="90" w:type="dxa"/>
              <w:bottom w:w="70" w:type="dxa"/>
              <w:end w:w="90" w:type="dxa"/>
            </w:tcMar>
          </w:tcPr>
          <w:p>
            <w:pPr>
              <w:spacing w:after="0"/>
            </w:pPr>
            <w:r>
              <w:rPr>
                <w:sz w:val="18"/>
              </w:rPr>
              <w:t>validating</w:t>
            </w:r>
          </w:p>
        </w:tc>
      </w:tr>
      <w:tr>
        <w:trPr>
          <w:cantSplit/>
        </w:trPr>
        <w:tc>
          <w:tcPr>
            <w:tcW w:type="dxa" w:w="864"/>
            <w:vAlign w:val="top"/>
            <w:tcMar>
              <w:top w:w="70" w:type="dxa"/>
              <w:start w:w="90" w:type="dxa"/>
              <w:bottom w:w="70" w:type="dxa"/>
              <w:end w:w="90" w:type="dxa"/>
            </w:tcMar>
          </w:tcPr>
          <w:p>
            <w:pPr>
              <w:spacing w:after="0"/>
            </w:pPr>
            <w:r>
              <w:rPr>
                <w:sz w:val="18"/>
              </w:rPr>
              <w:t>3</w:t>
            </w:r>
          </w:p>
        </w:tc>
        <w:tc>
          <w:tcPr>
            <w:tcW w:type="dxa" w:w="9648"/>
            <w:vAlign w:val="top"/>
            <w:tcMar>
              <w:top w:w="70" w:type="dxa"/>
              <w:start w:w="90" w:type="dxa"/>
              <w:bottom w:w="70" w:type="dxa"/>
              <w:end w:w="90" w:type="dxa"/>
            </w:tcMar>
          </w:tcPr>
          <w:p>
            <w:pPr>
              <w:spacing w:after="0"/>
            </w:pPr>
            <w:r>
              <w:rPr>
                <w:sz w:val="18"/>
              </w:rPr>
              <w:t>validated</w:t>
            </w:r>
          </w:p>
        </w:tc>
      </w:tr>
      <w:tr>
        <w:trPr>
          <w:cantSplit/>
        </w:trPr>
        <w:tc>
          <w:tcPr>
            <w:tcW w:type="dxa" w:w="864"/>
            <w:vAlign w:val="top"/>
            <w:tcMar>
              <w:top w:w="70" w:type="dxa"/>
              <w:start w:w="90" w:type="dxa"/>
              <w:bottom w:w="70" w:type="dxa"/>
              <w:end w:w="90" w:type="dxa"/>
            </w:tcMar>
          </w:tcPr>
          <w:p>
            <w:pPr>
              <w:spacing w:after="0"/>
            </w:pPr>
            <w:r>
              <w:rPr>
                <w:sz w:val="18"/>
              </w:rPr>
              <w:t>4</w:t>
            </w:r>
          </w:p>
        </w:tc>
        <w:tc>
          <w:tcPr>
            <w:tcW w:type="dxa" w:w="9648"/>
            <w:vAlign w:val="top"/>
            <w:tcMar>
              <w:top w:w="70" w:type="dxa"/>
              <w:start w:w="90" w:type="dxa"/>
              <w:bottom w:w="70" w:type="dxa"/>
              <w:end w:w="90" w:type="dxa"/>
            </w:tcMar>
          </w:tcPr>
          <w:p>
            <w:pPr>
              <w:spacing w:after="0"/>
            </w:pPr>
            <w:r>
              <w:rPr>
                <w:sz w:val="18"/>
              </w:rPr>
              <w:t>matching</w:t>
            </w:r>
          </w:p>
        </w:tc>
      </w:tr>
      <w:tr>
        <w:trPr>
          <w:cantSplit/>
        </w:trPr>
        <w:tc>
          <w:tcPr>
            <w:tcW w:type="dxa" w:w="864"/>
            <w:vAlign w:val="top"/>
            <w:tcMar>
              <w:top w:w="70" w:type="dxa"/>
              <w:start w:w="90" w:type="dxa"/>
              <w:bottom w:w="70" w:type="dxa"/>
              <w:end w:w="90" w:type="dxa"/>
            </w:tcMar>
          </w:tcPr>
          <w:p>
            <w:pPr>
              <w:spacing w:after="0"/>
            </w:pPr>
            <w:r>
              <w:rPr>
                <w:sz w:val="18"/>
              </w:rPr>
              <w:t>5</w:t>
            </w:r>
          </w:p>
        </w:tc>
        <w:tc>
          <w:tcPr>
            <w:tcW w:type="dxa" w:w="9648"/>
            <w:vAlign w:val="top"/>
            <w:tcMar>
              <w:top w:w="70" w:type="dxa"/>
              <w:start w:w="90" w:type="dxa"/>
              <w:bottom w:w="70" w:type="dxa"/>
              <w:end w:w="90" w:type="dxa"/>
            </w:tcMar>
          </w:tcPr>
          <w:p>
            <w:pPr>
              <w:spacing w:after="0"/>
            </w:pPr>
            <w:r>
              <w:rPr>
                <w:sz w:val="18"/>
              </w:rPr>
              <w:t>reconciled</w:t>
            </w:r>
          </w:p>
        </w:tc>
      </w:tr>
      <w:tr>
        <w:trPr>
          <w:cantSplit/>
        </w:trPr>
        <w:tc>
          <w:tcPr>
            <w:tcW w:type="dxa" w:w="864"/>
            <w:vAlign w:val="top"/>
            <w:tcMar>
              <w:top w:w="70" w:type="dxa"/>
              <w:start w:w="90" w:type="dxa"/>
              <w:bottom w:w="70" w:type="dxa"/>
              <w:end w:w="90" w:type="dxa"/>
            </w:tcMar>
          </w:tcPr>
          <w:p>
            <w:pPr>
              <w:spacing w:after="0"/>
            </w:pPr>
            <w:r>
              <w:rPr>
                <w:sz w:val="18"/>
              </w:rPr>
              <w:t>6</w:t>
            </w:r>
          </w:p>
        </w:tc>
        <w:tc>
          <w:tcPr>
            <w:tcW w:type="dxa" w:w="9648"/>
            <w:vAlign w:val="top"/>
            <w:tcMar>
              <w:top w:w="70" w:type="dxa"/>
              <w:start w:w="90" w:type="dxa"/>
              <w:bottom w:w="70" w:type="dxa"/>
              <w:end w:w="90" w:type="dxa"/>
            </w:tcMar>
          </w:tcPr>
          <w:p>
            <w:pPr>
              <w:spacing w:after="0"/>
            </w:pPr>
            <w:r>
              <w:rPr>
                <w:sz w:val="18"/>
              </w:rPr>
              <w:t>reconciled_with_exceptions</w:t>
            </w:r>
          </w:p>
        </w:tc>
      </w:tr>
      <w:tr>
        <w:trPr>
          <w:cantSplit/>
        </w:trPr>
        <w:tc>
          <w:tcPr>
            <w:tcW w:type="dxa" w:w="864"/>
            <w:vAlign w:val="top"/>
            <w:tcMar>
              <w:top w:w="70" w:type="dxa"/>
              <w:start w:w="90" w:type="dxa"/>
              <w:bottom w:w="70" w:type="dxa"/>
              <w:end w:w="90" w:type="dxa"/>
            </w:tcMar>
          </w:tcPr>
          <w:p>
            <w:pPr>
              <w:spacing w:after="0"/>
            </w:pPr>
            <w:r>
              <w:rPr>
                <w:sz w:val="18"/>
              </w:rPr>
              <w:t>7</w:t>
            </w:r>
          </w:p>
        </w:tc>
        <w:tc>
          <w:tcPr>
            <w:tcW w:type="dxa" w:w="9648"/>
            <w:vAlign w:val="top"/>
            <w:tcMar>
              <w:top w:w="70" w:type="dxa"/>
              <w:start w:w="90" w:type="dxa"/>
              <w:bottom w:w="70" w:type="dxa"/>
              <w:end w:w="90" w:type="dxa"/>
            </w:tcMar>
          </w:tcPr>
          <w:p>
            <w:pPr>
              <w:spacing w:after="0"/>
            </w:pPr>
            <w:r>
              <w:rPr>
                <w:sz w:val="18"/>
              </w:rPr>
              <w:t>failed</w:t>
            </w:r>
          </w:p>
        </w:tc>
      </w:tr>
      <w:tr>
        <w:trPr>
          <w:cantSplit/>
        </w:trPr>
        <w:tc>
          <w:tcPr>
            <w:tcW w:type="dxa" w:w="864"/>
            <w:vAlign w:val="top"/>
            <w:tcMar>
              <w:top w:w="70" w:type="dxa"/>
              <w:start w:w="90" w:type="dxa"/>
              <w:bottom w:w="70" w:type="dxa"/>
              <w:end w:w="90" w:type="dxa"/>
            </w:tcMar>
          </w:tcPr>
          <w:p>
            <w:pPr>
              <w:spacing w:after="0"/>
            </w:pPr>
            <w:r>
              <w:rPr>
                <w:sz w:val="18"/>
              </w:rPr>
              <w:t>8</w:t>
            </w:r>
          </w:p>
        </w:tc>
        <w:tc>
          <w:tcPr>
            <w:tcW w:type="dxa" w:w="9648"/>
            <w:vAlign w:val="top"/>
            <w:tcMar>
              <w:top w:w="70" w:type="dxa"/>
              <w:start w:w="90" w:type="dxa"/>
              <w:bottom w:w="70" w:type="dxa"/>
              <w:end w:w="90" w:type="dxa"/>
            </w:tcMar>
          </w:tcPr>
          <w:p>
            <w:pPr>
              <w:spacing w:after="0"/>
            </w:pPr>
            <w:r>
              <w:rPr>
                <w:sz w:val="18"/>
              </w:rPr>
              <w:t>review_required</w:t>
            </w:r>
          </w:p>
        </w:tc>
      </w:tr>
      <w:tr>
        <w:trPr>
          <w:cantSplit/>
        </w:trPr>
        <w:tc>
          <w:tcPr>
            <w:tcW w:type="dxa" w:w="864"/>
            <w:vAlign w:val="top"/>
            <w:tcMar>
              <w:top w:w="70" w:type="dxa"/>
              <w:start w:w="90" w:type="dxa"/>
              <w:bottom w:w="70" w:type="dxa"/>
              <w:end w:w="90" w:type="dxa"/>
            </w:tcMar>
          </w:tcPr>
          <w:p>
            <w:pPr>
              <w:spacing w:after="0"/>
            </w:pPr>
            <w:r>
              <w:rPr>
                <w:sz w:val="18"/>
              </w:rPr>
              <w:t>9</w:t>
            </w:r>
          </w:p>
        </w:tc>
        <w:tc>
          <w:tcPr>
            <w:tcW w:type="dxa" w:w="9648"/>
            <w:vAlign w:val="top"/>
            <w:tcMar>
              <w:top w:w="70" w:type="dxa"/>
              <w:start w:w="90" w:type="dxa"/>
              <w:bottom w:w="70" w:type="dxa"/>
              <w:end w:w="90" w:type="dxa"/>
            </w:tcMar>
          </w:tcPr>
          <w:p>
            <w:pPr>
              <w:spacing w:after="0"/>
            </w:pPr>
            <w:r>
              <w:rPr>
                <w:sz w:val="18"/>
              </w:rPr>
              <w:t>superseded</w:t>
            </w:r>
          </w:p>
        </w:tc>
      </w:tr>
      <w:tr>
        <w:trPr>
          <w:cantSplit/>
        </w:trPr>
        <w:tc>
          <w:tcPr>
            <w:tcW w:type="dxa" w:w="864"/>
            <w:vAlign w:val="top"/>
            <w:tcMar>
              <w:top w:w="70" w:type="dxa"/>
              <w:start w:w="90" w:type="dxa"/>
              <w:bottom w:w="70" w:type="dxa"/>
              <w:end w:w="90" w:type="dxa"/>
            </w:tcMar>
          </w:tcPr>
          <w:p>
            <w:pPr>
              <w:spacing w:after="0"/>
            </w:pPr>
            <w:r>
              <w:rPr>
                <w:sz w:val="18"/>
              </w:rPr>
              <w:t>10</w:t>
            </w:r>
          </w:p>
        </w:tc>
        <w:tc>
          <w:tcPr>
            <w:tcW w:type="dxa" w:w="9648"/>
            <w:vAlign w:val="top"/>
            <w:tcMar>
              <w:top w:w="70" w:type="dxa"/>
              <w:start w:w="90" w:type="dxa"/>
              <w:bottom w:w="70" w:type="dxa"/>
              <w:end w:w="90" w:type="dxa"/>
            </w:tcMar>
          </w:tcPr>
          <w:p>
            <w:pPr>
              <w:spacing w:after="0"/>
            </w:pPr>
            <w:r>
              <w:rPr>
                <w:sz w:val="18"/>
              </w:rPr>
              <w:t>canceled</w:t>
            </w:r>
          </w:p>
        </w:tc>
      </w:tr>
    </w:tbl>
    <w:p>
      <w:pPr>
        <w:spacing w:after="20"/>
      </w:pPr>
    </w:p>
    <w:p>
      <w:pPr>
        <w:pStyle w:val="Heading2"/>
      </w:pPr>
      <w:r>
        <w:t>11.2 Match Result Statuses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864"/>
            <w:shd w:fill="17365D"/>
            <w:vAlign w:val="center"/>
            <w:tcMar>
              <w:top w:w="70" w:type="dxa"/>
              <w:start w:w="90" w:type="dxa"/>
              <w:bottom w:w="70" w:type="dxa"/>
              <w:end w:w="90" w:type="dxa"/>
            </w:tcMar>
          </w:tcPr>
          <w:p>
            <w:pPr>
              <w:spacing w:after="0"/>
            </w:pPr>
            <w:r>
              <w:rPr>
                <w:b/>
                <w:color w:val="FFFFFF"/>
                <w:sz w:val="18"/>
              </w:rPr>
              <w:t>#</w:t>
            </w:r>
          </w:p>
        </w:tc>
        <w:tc>
          <w:tcPr>
            <w:tcW w:type="dxa" w:w="9648"/>
            <w:shd w:fill="17365D"/>
            <w:vAlign w:val="center"/>
            <w:tcMar>
              <w:top w:w="70" w:type="dxa"/>
              <w:start w:w="90" w:type="dxa"/>
              <w:bottom w:w="70" w:type="dxa"/>
              <w:end w:w="90" w:type="dxa"/>
            </w:tcMar>
          </w:tcPr>
          <w:p>
            <w:pPr>
              <w:spacing w:after="0"/>
            </w:pPr>
            <w:r>
              <w:rPr>
                <w:b/>
                <w:color w:val="FFFFFF"/>
                <w:sz w:val="18"/>
              </w:rPr>
              <w:t>Status</w:t>
            </w:r>
          </w:p>
        </w:tc>
      </w:tr>
      <w:tr>
        <w:trPr>
          <w:cantSplit/>
        </w:trPr>
        <w:tc>
          <w:tcPr>
            <w:tcW w:type="dxa" w:w="864"/>
            <w:vAlign w:val="top"/>
            <w:tcMar>
              <w:top w:w="70" w:type="dxa"/>
              <w:start w:w="90" w:type="dxa"/>
              <w:bottom w:w="70" w:type="dxa"/>
              <w:end w:w="90" w:type="dxa"/>
            </w:tcMar>
          </w:tcPr>
          <w:p>
            <w:pPr>
              <w:spacing w:after="0"/>
            </w:pPr>
            <w:r>
              <w:rPr>
                <w:sz w:val="18"/>
              </w:rPr>
              <w:t>1</w:t>
            </w:r>
          </w:p>
        </w:tc>
        <w:tc>
          <w:tcPr>
            <w:tcW w:type="dxa" w:w="9648"/>
            <w:vAlign w:val="top"/>
            <w:tcMar>
              <w:top w:w="70" w:type="dxa"/>
              <w:start w:w="90" w:type="dxa"/>
              <w:bottom w:w="70" w:type="dxa"/>
              <w:end w:w="90" w:type="dxa"/>
            </w:tcMar>
          </w:tcPr>
          <w:p>
            <w:pPr>
              <w:spacing w:after="0"/>
            </w:pPr>
            <w:r>
              <w:rPr>
                <w:sz w:val="18"/>
              </w:rPr>
              <w:t>matched</w:t>
            </w:r>
          </w:p>
        </w:tc>
      </w:tr>
      <w:tr>
        <w:trPr>
          <w:cantSplit/>
        </w:trPr>
        <w:tc>
          <w:tcPr>
            <w:tcW w:type="dxa" w:w="864"/>
            <w:vAlign w:val="top"/>
            <w:tcMar>
              <w:top w:w="70" w:type="dxa"/>
              <w:start w:w="90" w:type="dxa"/>
              <w:bottom w:w="70" w:type="dxa"/>
              <w:end w:w="90" w:type="dxa"/>
            </w:tcMar>
          </w:tcPr>
          <w:p>
            <w:pPr>
              <w:spacing w:after="0"/>
            </w:pPr>
            <w:r>
              <w:rPr>
                <w:sz w:val="18"/>
              </w:rPr>
              <w:t>2</w:t>
            </w:r>
          </w:p>
        </w:tc>
        <w:tc>
          <w:tcPr>
            <w:tcW w:type="dxa" w:w="9648"/>
            <w:vAlign w:val="top"/>
            <w:tcMar>
              <w:top w:w="70" w:type="dxa"/>
              <w:start w:w="90" w:type="dxa"/>
              <w:bottom w:w="70" w:type="dxa"/>
              <w:end w:w="90" w:type="dxa"/>
            </w:tcMar>
          </w:tcPr>
          <w:p>
            <w:pPr>
              <w:spacing w:after="0"/>
            </w:pPr>
            <w:r>
              <w:rPr>
                <w:sz w:val="18"/>
              </w:rPr>
              <w:t>missing_in_vendor_file</w:t>
            </w:r>
          </w:p>
        </w:tc>
      </w:tr>
      <w:tr>
        <w:trPr>
          <w:cantSplit/>
        </w:trPr>
        <w:tc>
          <w:tcPr>
            <w:tcW w:type="dxa" w:w="864"/>
            <w:vAlign w:val="top"/>
            <w:tcMar>
              <w:top w:w="70" w:type="dxa"/>
              <w:start w:w="90" w:type="dxa"/>
              <w:bottom w:w="70" w:type="dxa"/>
              <w:end w:w="90" w:type="dxa"/>
            </w:tcMar>
          </w:tcPr>
          <w:p>
            <w:pPr>
              <w:spacing w:after="0"/>
            </w:pPr>
            <w:r>
              <w:rPr>
                <w:sz w:val="18"/>
              </w:rPr>
              <w:t>3</w:t>
            </w:r>
          </w:p>
        </w:tc>
        <w:tc>
          <w:tcPr>
            <w:tcW w:type="dxa" w:w="9648"/>
            <w:vAlign w:val="top"/>
            <w:tcMar>
              <w:top w:w="70" w:type="dxa"/>
              <w:start w:w="90" w:type="dxa"/>
              <w:bottom w:w="70" w:type="dxa"/>
              <w:end w:w="90" w:type="dxa"/>
            </w:tcMar>
          </w:tcPr>
          <w:p>
            <w:pPr>
              <w:spacing w:after="0"/>
            </w:pPr>
            <w:r>
              <w:rPr>
                <w:sz w:val="18"/>
              </w:rPr>
              <w:t>missing_in_cixci</w:t>
            </w:r>
          </w:p>
        </w:tc>
      </w:tr>
      <w:tr>
        <w:trPr>
          <w:cantSplit/>
        </w:trPr>
        <w:tc>
          <w:tcPr>
            <w:tcW w:type="dxa" w:w="864"/>
            <w:vAlign w:val="top"/>
            <w:tcMar>
              <w:top w:w="70" w:type="dxa"/>
              <w:start w:w="90" w:type="dxa"/>
              <w:bottom w:w="70" w:type="dxa"/>
              <w:end w:w="90" w:type="dxa"/>
            </w:tcMar>
          </w:tcPr>
          <w:p>
            <w:pPr>
              <w:spacing w:after="0"/>
            </w:pPr>
            <w:r>
              <w:rPr>
                <w:sz w:val="18"/>
              </w:rPr>
              <w:t>4</w:t>
            </w:r>
          </w:p>
        </w:tc>
        <w:tc>
          <w:tcPr>
            <w:tcW w:type="dxa" w:w="9648"/>
            <w:vAlign w:val="top"/>
            <w:tcMar>
              <w:top w:w="70" w:type="dxa"/>
              <w:start w:w="90" w:type="dxa"/>
              <w:bottom w:w="70" w:type="dxa"/>
              <w:end w:w="90" w:type="dxa"/>
            </w:tcMar>
          </w:tcPr>
          <w:p>
            <w:pPr>
              <w:spacing w:after="0"/>
            </w:pPr>
            <w:r>
              <w:rPr>
                <w:sz w:val="18"/>
              </w:rPr>
              <w:t>duplicate_in_vendor_file</w:t>
            </w:r>
          </w:p>
        </w:tc>
      </w:tr>
      <w:tr>
        <w:trPr>
          <w:cantSplit/>
        </w:trPr>
        <w:tc>
          <w:tcPr>
            <w:tcW w:type="dxa" w:w="864"/>
            <w:vAlign w:val="top"/>
            <w:tcMar>
              <w:top w:w="70" w:type="dxa"/>
              <w:start w:w="90" w:type="dxa"/>
              <w:bottom w:w="70" w:type="dxa"/>
              <w:end w:w="90" w:type="dxa"/>
            </w:tcMar>
          </w:tcPr>
          <w:p>
            <w:pPr>
              <w:spacing w:after="0"/>
            </w:pPr>
            <w:r>
              <w:rPr>
                <w:sz w:val="18"/>
              </w:rPr>
              <w:t>5</w:t>
            </w:r>
          </w:p>
        </w:tc>
        <w:tc>
          <w:tcPr>
            <w:tcW w:type="dxa" w:w="9648"/>
            <w:vAlign w:val="top"/>
            <w:tcMar>
              <w:top w:w="70" w:type="dxa"/>
              <w:start w:w="90" w:type="dxa"/>
              <w:bottom w:w="70" w:type="dxa"/>
              <w:end w:w="90" w:type="dxa"/>
            </w:tcMar>
          </w:tcPr>
          <w:p>
            <w:pPr>
              <w:spacing w:after="0"/>
            </w:pPr>
            <w:r>
              <w:rPr>
                <w:sz w:val="18"/>
              </w:rPr>
              <w:t>status_mismatch</w:t>
            </w:r>
          </w:p>
        </w:tc>
      </w:tr>
      <w:tr>
        <w:trPr>
          <w:cantSplit/>
        </w:trPr>
        <w:tc>
          <w:tcPr>
            <w:tcW w:type="dxa" w:w="864"/>
            <w:vAlign w:val="top"/>
            <w:tcMar>
              <w:top w:w="70" w:type="dxa"/>
              <w:start w:w="90" w:type="dxa"/>
              <w:bottom w:w="70" w:type="dxa"/>
              <w:end w:w="90" w:type="dxa"/>
            </w:tcMar>
          </w:tcPr>
          <w:p>
            <w:pPr>
              <w:spacing w:after="0"/>
            </w:pPr>
            <w:r>
              <w:rPr>
                <w:sz w:val="18"/>
              </w:rPr>
              <w:t>6</w:t>
            </w:r>
          </w:p>
        </w:tc>
        <w:tc>
          <w:tcPr>
            <w:tcW w:type="dxa" w:w="9648"/>
            <w:vAlign w:val="top"/>
            <w:tcMar>
              <w:top w:w="70" w:type="dxa"/>
              <w:start w:w="90" w:type="dxa"/>
              <w:bottom w:w="70" w:type="dxa"/>
              <w:end w:w="90" w:type="dxa"/>
            </w:tcMar>
          </w:tcPr>
          <w:p>
            <w:pPr>
              <w:spacing w:after="0"/>
            </w:pPr>
            <w:r>
              <w:rPr>
                <w:sz w:val="18"/>
              </w:rPr>
              <w:t>amount_mismatch</w:t>
            </w:r>
          </w:p>
        </w:tc>
      </w:tr>
      <w:tr>
        <w:trPr>
          <w:cantSplit/>
        </w:trPr>
        <w:tc>
          <w:tcPr>
            <w:tcW w:type="dxa" w:w="864"/>
            <w:vAlign w:val="top"/>
            <w:tcMar>
              <w:top w:w="70" w:type="dxa"/>
              <w:start w:w="90" w:type="dxa"/>
              <w:bottom w:w="70" w:type="dxa"/>
              <w:end w:w="90" w:type="dxa"/>
            </w:tcMar>
          </w:tcPr>
          <w:p>
            <w:pPr>
              <w:spacing w:after="0"/>
            </w:pPr>
            <w:r>
              <w:rPr>
                <w:sz w:val="18"/>
              </w:rPr>
              <w:t>7</w:t>
            </w:r>
          </w:p>
        </w:tc>
        <w:tc>
          <w:tcPr>
            <w:tcW w:type="dxa" w:w="9648"/>
            <w:vAlign w:val="top"/>
            <w:tcMar>
              <w:top w:w="70" w:type="dxa"/>
              <w:start w:w="90" w:type="dxa"/>
              <w:bottom w:w="70" w:type="dxa"/>
              <w:end w:w="90" w:type="dxa"/>
            </w:tcMar>
          </w:tcPr>
          <w:p>
            <w:pPr>
              <w:spacing w:after="0"/>
            </w:pPr>
            <w:r>
              <w:rPr>
                <w:sz w:val="18"/>
              </w:rPr>
              <w:t>quantity_mismatch</w:t>
            </w:r>
          </w:p>
        </w:tc>
      </w:tr>
      <w:tr>
        <w:trPr>
          <w:cantSplit/>
        </w:trPr>
        <w:tc>
          <w:tcPr>
            <w:tcW w:type="dxa" w:w="864"/>
            <w:vAlign w:val="top"/>
            <w:tcMar>
              <w:top w:w="70" w:type="dxa"/>
              <w:start w:w="90" w:type="dxa"/>
              <w:bottom w:w="70" w:type="dxa"/>
              <w:end w:w="90" w:type="dxa"/>
            </w:tcMar>
          </w:tcPr>
          <w:p>
            <w:pPr>
              <w:spacing w:after="0"/>
            </w:pPr>
            <w:r>
              <w:rPr>
                <w:sz w:val="18"/>
              </w:rPr>
              <w:t>8</w:t>
            </w:r>
          </w:p>
        </w:tc>
        <w:tc>
          <w:tcPr>
            <w:tcW w:type="dxa" w:w="9648"/>
            <w:vAlign w:val="top"/>
            <w:tcMar>
              <w:top w:w="70" w:type="dxa"/>
              <w:start w:w="90" w:type="dxa"/>
              <w:bottom w:w="70" w:type="dxa"/>
              <w:end w:w="90" w:type="dxa"/>
            </w:tcMar>
          </w:tcPr>
          <w:p>
            <w:pPr>
              <w:spacing w:after="0"/>
            </w:pPr>
            <w:r>
              <w:rPr>
                <w:sz w:val="18"/>
              </w:rPr>
              <w:t>sku_upc_mismatch</w:t>
            </w:r>
          </w:p>
        </w:tc>
      </w:tr>
      <w:tr>
        <w:trPr>
          <w:cantSplit/>
        </w:trPr>
        <w:tc>
          <w:tcPr>
            <w:tcW w:type="dxa" w:w="864"/>
            <w:vAlign w:val="top"/>
            <w:tcMar>
              <w:top w:w="70" w:type="dxa"/>
              <w:start w:w="90" w:type="dxa"/>
              <w:bottom w:w="70" w:type="dxa"/>
              <w:end w:w="90" w:type="dxa"/>
            </w:tcMar>
          </w:tcPr>
          <w:p>
            <w:pPr>
              <w:spacing w:after="0"/>
            </w:pPr>
            <w:r>
              <w:rPr>
                <w:sz w:val="18"/>
              </w:rPr>
              <w:t>9</w:t>
            </w:r>
          </w:p>
        </w:tc>
        <w:tc>
          <w:tcPr>
            <w:tcW w:type="dxa" w:w="9648"/>
            <w:vAlign w:val="top"/>
            <w:tcMar>
              <w:top w:w="70" w:type="dxa"/>
              <w:start w:w="90" w:type="dxa"/>
              <w:bottom w:w="70" w:type="dxa"/>
              <w:end w:w="90" w:type="dxa"/>
            </w:tcMar>
          </w:tcPr>
          <w:p>
            <w:pPr>
              <w:spacing w:after="0"/>
            </w:pPr>
            <w:r>
              <w:rPr>
                <w:sz w:val="18"/>
              </w:rPr>
              <w:t>tracking_mismatch</w:t>
            </w:r>
          </w:p>
        </w:tc>
      </w:tr>
      <w:tr>
        <w:trPr>
          <w:cantSplit/>
        </w:trPr>
        <w:tc>
          <w:tcPr>
            <w:tcW w:type="dxa" w:w="864"/>
            <w:vAlign w:val="top"/>
            <w:tcMar>
              <w:top w:w="70" w:type="dxa"/>
              <w:start w:w="90" w:type="dxa"/>
              <w:bottom w:w="70" w:type="dxa"/>
              <w:end w:w="90" w:type="dxa"/>
            </w:tcMar>
          </w:tcPr>
          <w:p>
            <w:pPr>
              <w:spacing w:after="0"/>
            </w:pPr>
            <w:r>
              <w:rPr>
                <w:sz w:val="18"/>
              </w:rPr>
              <w:t>10</w:t>
            </w:r>
          </w:p>
        </w:tc>
        <w:tc>
          <w:tcPr>
            <w:tcW w:type="dxa" w:w="9648"/>
            <w:vAlign w:val="top"/>
            <w:tcMar>
              <w:top w:w="70" w:type="dxa"/>
              <w:start w:w="90" w:type="dxa"/>
              <w:bottom w:w="70" w:type="dxa"/>
              <w:end w:w="90" w:type="dxa"/>
            </w:tcMar>
          </w:tcPr>
          <w:p>
            <w:pPr>
              <w:spacing w:after="0"/>
            </w:pPr>
            <w:r>
              <w:rPr>
                <w:sz w:val="18"/>
              </w:rPr>
              <w:t>date_mismatch</w:t>
            </w:r>
          </w:p>
        </w:tc>
      </w:tr>
      <w:tr>
        <w:trPr>
          <w:cantSplit/>
        </w:trPr>
        <w:tc>
          <w:tcPr>
            <w:tcW w:type="dxa" w:w="864"/>
            <w:vAlign w:val="top"/>
            <w:tcMar>
              <w:top w:w="70" w:type="dxa"/>
              <w:start w:w="90" w:type="dxa"/>
              <w:bottom w:w="70" w:type="dxa"/>
              <w:end w:w="90" w:type="dxa"/>
            </w:tcMar>
          </w:tcPr>
          <w:p>
            <w:pPr>
              <w:spacing w:after="0"/>
            </w:pPr>
            <w:r>
              <w:rPr>
                <w:sz w:val="18"/>
              </w:rPr>
              <w:t>11</w:t>
            </w:r>
          </w:p>
        </w:tc>
        <w:tc>
          <w:tcPr>
            <w:tcW w:type="dxa" w:w="9648"/>
            <w:vAlign w:val="top"/>
            <w:tcMar>
              <w:top w:w="70" w:type="dxa"/>
              <w:start w:w="90" w:type="dxa"/>
              <w:bottom w:w="70" w:type="dxa"/>
              <w:end w:w="90" w:type="dxa"/>
            </w:tcMar>
          </w:tcPr>
          <w:p>
            <w:pPr>
              <w:spacing w:after="0"/>
            </w:pPr>
            <w:r>
              <w:rPr>
                <w:sz w:val="18"/>
              </w:rPr>
              <w:t>refund_mismatch</w:t>
            </w:r>
          </w:p>
        </w:tc>
      </w:tr>
      <w:tr>
        <w:trPr>
          <w:cantSplit/>
        </w:trPr>
        <w:tc>
          <w:tcPr>
            <w:tcW w:type="dxa" w:w="864"/>
            <w:vAlign w:val="top"/>
            <w:tcMar>
              <w:top w:w="70" w:type="dxa"/>
              <w:start w:w="90" w:type="dxa"/>
              <w:bottom w:w="70" w:type="dxa"/>
              <w:end w:w="90" w:type="dxa"/>
            </w:tcMar>
          </w:tcPr>
          <w:p>
            <w:pPr>
              <w:spacing w:after="0"/>
            </w:pPr>
            <w:r>
              <w:rPr>
                <w:sz w:val="18"/>
              </w:rPr>
              <w:t>12</w:t>
            </w:r>
          </w:p>
        </w:tc>
        <w:tc>
          <w:tcPr>
            <w:tcW w:type="dxa" w:w="9648"/>
            <w:vAlign w:val="top"/>
            <w:tcMar>
              <w:top w:w="70" w:type="dxa"/>
              <w:start w:w="90" w:type="dxa"/>
              <w:bottom w:w="70" w:type="dxa"/>
              <w:end w:w="90" w:type="dxa"/>
            </w:tcMar>
          </w:tcPr>
          <w:p>
            <w:pPr>
              <w:spacing w:after="0"/>
            </w:pPr>
            <w:r>
              <w:rPr>
                <w:sz w:val="18"/>
              </w:rPr>
              <w:t>rejected_reason_mismatch</w:t>
            </w:r>
          </w:p>
        </w:tc>
      </w:tr>
      <w:tr>
        <w:trPr>
          <w:cantSplit/>
        </w:trPr>
        <w:tc>
          <w:tcPr>
            <w:tcW w:type="dxa" w:w="864"/>
            <w:vAlign w:val="top"/>
            <w:tcMar>
              <w:top w:w="70" w:type="dxa"/>
              <w:start w:w="90" w:type="dxa"/>
              <w:bottom w:w="70" w:type="dxa"/>
              <w:end w:w="90" w:type="dxa"/>
            </w:tcMar>
          </w:tcPr>
          <w:p>
            <w:pPr>
              <w:spacing w:after="0"/>
            </w:pPr>
            <w:r>
              <w:rPr>
                <w:sz w:val="18"/>
              </w:rPr>
              <w:t>13</w:t>
            </w:r>
          </w:p>
        </w:tc>
        <w:tc>
          <w:tcPr>
            <w:tcW w:type="dxa" w:w="9648"/>
            <w:vAlign w:val="top"/>
            <w:tcMar>
              <w:top w:w="70" w:type="dxa"/>
              <w:start w:w="90" w:type="dxa"/>
              <w:bottom w:w="70" w:type="dxa"/>
              <w:end w:w="90" w:type="dxa"/>
            </w:tcMar>
          </w:tcPr>
          <w:p>
            <w:pPr>
              <w:spacing w:after="0"/>
            </w:pPr>
            <w:r>
              <w:rPr>
                <w:sz w:val="18"/>
              </w:rPr>
              <w:t>review_required</w:t>
            </w:r>
          </w:p>
        </w:tc>
      </w:tr>
    </w:tbl>
    <w:p>
      <w:pPr>
        <w:spacing w:after="20"/>
      </w:pPr>
    </w:p>
    <w:p>
      <w:pPr>
        <w:pStyle w:val="Heading1"/>
      </w:pPr>
      <w:r>
        <w:t>12. Invoice Exception Handling</w:t>
      </w:r>
    </w:p>
    <w:p>
      <w:r>
        <w:t>Invoice Exceptions protect the financial workflow from guessing or silently proceeding with incomplete/conflicting evidence.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4896"/>
            <w:shd w:fill="17365D"/>
            <w:vAlign w:val="center"/>
            <w:tcMar>
              <w:top w:w="70" w:type="dxa"/>
              <w:start w:w="90" w:type="dxa"/>
              <w:bottom w:w="70" w:type="dxa"/>
              <w:end w:w="90" w:type="dxa"/>
            </w:tcMar>
          </w:tcPr>
          <w:p>
            <w:pPr>
              <w:spacing w:after="0"/>
            </w:pPr>
            <w:r>
              <w:rPr>
                <w:b/>
                <w:color w:val="FFFFFF"/>
                <w:sz w:val="18"/>
              </w:rPr>
              <w:t>Condition</w:t>
            </w:r>
          </w:p>
        </w:tc>
        <w:tc>
          <w:tcPr>
            <w:tcW w:type="dxa" w:w="6192"/>
            <w:shd w:fill="17365D"/>
            <w:vAlign w:val="center"/>
            <w:tcMar>
              <w:top w:w="70" w:type="dxa"/>
              <w:start w:w="90" w:type="dxa"/>
              <w:bottom w:w="70" w:type="dxa"/>
              <w:end w:w="90" w:type="dxa"/>
            </w:tcMar>
          </w:tcPr>
          <w:p>
            <w:pPr>
              <w:spacing w:after="0"/>
            </w:pPr>
            <w:r>
              <w:rPr>
                <w:b/>
                <w:color w:val="FFFFFF"/>
                <w:sz w:val="18"/>
              </w:rPr>
              <w:t>Expected Handling</w:t>
            </w:r>
          </w:p>
        </w:tc>
      </w:tr>
      <w:tr>
        <w:trPr>
          <w:cantSplit/>
        </w:trPr>
        <w:tc>
          <w:tcPr>
            <w:tcW w:type="dxa" w:w="4896"/>
            <w:vAlign w:val="top"/>
            <w:tcMar>
              <w:top w:w="70" w:type="dxa"/>
              <w:start w:w="90" w:type="dxa"/>
              <w:bottom w:w="70" w:type="dxa"/>
              <w:end w:w="90" w:type="dxa"/>
            </w:tcMar>
          </w:tcPr>
          <w:p>
            <w:pPr>
              <w:spacing w:after="0"/>
            </w:pPr>
            <w:r>
              <w:rPr>
                <w:sz w:val="18"/>
              </w:rPr>
              <w:t>Missing Pricing Snapshot</w:t>
            </w:r>
          </w:p>
        </w:tc>
        <w:tc>
          <w:tcPr>
            <w:tcW w:type="dxa" w:w="6192"/>
            <w:vAlign w:val="top"/>
            <w:tcMar>
              <w:top w:w="70" w:type="dxa"/>
              <w:start w:w="90" w:type="dxa"/>
              <w:bottom w:w="70" w:type="dxa"/>
              <w:end w:w="90" w:type="dxa"/>
            </w:tcMar>
          </w:tcPr>
          <w:p>
            <w:pPr>
              <w:spacing w:after="0"/>
            </w:pPr>
            <w:r>
              <w:rPr>
                <w:sz w:val="18"/>
              </w:rPr>
              <w:t>Blocking Invoice Exception; do not generate a guessed amount.</w:t>
            </w:r>
          </w:p>
        </w:tc>
      </w:tr>
      <w:tr>
        <w:trPr>
          <w:cantSplit/>
        </w:trPr>
        <w:tc>
          <w:tcPr>
            <w:tcW w:type="dxa" w:w="4896"/>
            <w:vAlign w:val="top"/>
            <w:tcMar>
              <w:top w:w="70" w:type="dxa"/>
              <w:start w:w="90" w:type="dxa"/>
              <w:bottom w:w="70" w:type="dxa"/>
              <w:end w:w="90" w:type="dxa"/>
            </w:tcMar>
          </w:tcPr>
          <w:p>
            <w:pPr>
              <w:spacing w:after="0"/>
            </w:pPr>
            <w:r>
              <w:rPr>
                <w:sz w:val="18"/>
              </w:rPr>
              <w:t>Missing Commission Snapshot</w:t>
            </w:r>
          </w:p>
        </w:tc>
        <w:tc>
          <w:tcPr>
            <w:tcW w:type="dxa" w:w="6192"/>
            <w:vAlign w:val="top"/>
            <w:tcMar>
              <w:top w:w="70" w:type="dxa"/>
              <w:start w:w="90" w:type="dxa"/>
              <w:bottom w:w="70" w:type="dxa"/>
              <w:end w:w="90" w:type="dxa"/>
            </w:tcMar>
          </w:tcPr>
          <w:p>
            <w:pPr>
              <w:spacing w:after="0"/>
            </w:pPr>
            <w:r>
              <w:rPr>
                <w:sz w:val="18"/>
              </w:rPr>
              <w:t>Blocking Invoice Exception.</w:t>
            </w:r>
          </w:p>
        </w:tc>
      </w:tr>
      <w:tr>
        <w:trPr>
          <w:cantSplit/>
        </w:trPr>
        <w:tc>
          <w:tcPr>
            <w:tcW w:type="dxa" w:w="4896"/>
            <w:vAlign w:val="top"/>
            <w:tcMar>
              <w:top w:w="70" w:type="dxa"/>
              <w:start w:w="90" w:type="dxa"/>
              <w:bottom w:w="70" w:type="dxa"/>
              <w:end w:w="90" w:type="dxa"/>
            </w:tcMar>
          </w:tcPr>
          <w:p>
            <w:pPr>
              <w:spacing w:after="0"/>
            </w:pPr>
            <w:r>
              <w:rPr>
                <w:sz w:val="18"/>
              </w:rPr>
              <w:t>Pricing = configuration_required</w:t>
            </w:r>
          </w:p>
        </w:tc>
        <w:tc>
          <w:tcPr>
            <w:tcW w:type="dxa" w:w="6192"/>
            <w:vAlign w:val="top"/>
            <w:tcMar>
              <w:top w:w="70" w:type="dxa"/>
              <w:start w:w="90" w:type="dxa"/>
              <w:bottom w:w="70" w:type="dxa"/>
              <w:end w:w="90" w:type="dxa"/>
            </w:tcMar>
          </w:tcPr>
          <w:p>
            <w:pPr>
              <w:spacing w:after="0"/>
            </w:pPr>
            <w:r>
              <w:rPr>
                <w:sz w:val="18"/>
              </w:rPr>
              <w:t>Exception/configuration required; do not generate line with guessed amount.</w:t>
            </w:r>
          </w:p>
        </w:tc>
      </w:tr>
      <w:tr>
        <w:trPr>
          <w:cantSplit/>
        </w:trPr>
        <w:tc>
          <w:tcPr>
            <w:tcW w:type="dxa" w:w="4896"/>
            <w:vAlign w:val="top"/>
            <w:tcMar>
              <w:top w:w="70" w:type="dxa"/>
              <w:start w:w="90" w:type="dxa"/>
              <w:bottom w:w="70" w:type="dxa"/>
              <w:end w:w="90" w:type="dxa"/>
            </w:tcMar>
          </w:tcPr>
          <w:p>
            <w:pPr>
              <w:spacing w:after="0"/>
            </w:pPr>
            <w:r>
              <w:rPr>
                <w:sz w:val="18"/>
              </w:rPr>
              <w:t>Missing accepted Delivery Evidence</w:t>
            </w:r>
          </w:p>
        </w:tc>
        <w:tc>
          <w:tcPr>
            <w:tcW w:type="dxa" w:w="6192"/>
            <w:vAlign w:val="top"/>
            <w:tcMar>
              <w:top w:w="70" w:type="dxa"/>
              <w:start w:w="90" w:type="dxa"/>
              <w:bottom w:w="70" w:type="dxa"/>
              <w:end w:w="90" w:type="dxa"/>
            </w:tcMar>
          </w:tcPr>
          <w:p>
            <w:pPr>
              <w:spacing w:after="0"/>
            </w:pPr>
            <w:r>
              <w:rPr>
                <w:sz w:val="18"/>
              </w:rPr>
              <w:t>Exclude line or create the appropriate Invoice Exception.</w:t>
            </w:r>
          </w:p>
        </w:tc>
      </w:tr>
      <w:tr>
        <w:trPr>
          <w:cantSplit/>
        </w:trPr>
        <w:tc>
          <w:tcPr>
            <w:tcW w:type="dxa" w:w="4896"/>
            <w:vAlign w:val="top"/>
            <w:tcMar>
              <w:top w:w="70" w:type="dxa"/>
              <w:start w:w="90" w:type="dxa"/>
              <w:bottom w:w="70" w:type="dxa"/>
              <w:end w:w="90" w:type="dxa"/>
            </w:tcMar>
          </w:tcPr>
          <w:p>
            <w:pPr>
              <w:spacing w:after="0"/>
            </w:pPr>
            <w:r>
              <w:rPr>
                <w:sz w:val="18"/>
              </w:rPr>
              <w:t>Claimed refund but missing source refund evidence</w:t>
            </w:r>
          </w:p>
        </w:tc>
        <w:tc>
          <w:tcPr>
            <w:tcW w:type="dxa" w:w="6192"/>
            <w:vAlign w:val="top"/>
            <w:tcMar>
              <w:top w:w="70" w:type="dxa"/>
              <w:start w:w="90" w:type="dxa"/>
              <w:bottom w:w="70" w:type="dxa"/>
              <w:end w:w="90" w:type="dxa"/>
            </w:tcMar>
          </w:tcPr>
          <w:p>
            <w:pPr>
              <w:spacing w:after="0"/>
            </w:pPr>
            <w:r>
              <w:rPr>
                <w:sz w:val="18"/>
              </w:rPr>
              <w:t>missing_refund_evidence / review; no automatic reduction.</w:t>
            </w:r>
          </w:p>
        </w:tc>
      </w:tr>
      <w:tr>
        <w:trPr>
          <w:cantSplit/>
        </w:trPr>
        <w:tc>
          <w:tcPr>
            <w:tcW w:type="dxa" w:w="4896"/>
            <w:vAlign w:val="top"/>
            <w:tcMar>
              <w:top w:w="70" w:type="dxa"/>
              <w:start w:w="90" w:type="dxa"/>
              <w:bottom w:w="70" w:type="dxa"/>
              <w:end w:w="90" w:type="dxa"/>
            </w:tcMar>
          </w:tcPr>
          <w:p>
            <w:pPr>
              <w:spacing w:after="0"/>
            </w:pPr>
            <w:r>
              <w:rPr>
                <w:sz w:val="18"/>
              </w:rPr>
              <w:t>Vendor reconciliation mismatch</w:t>
            </w:r>
          </w:p>
        </w:tc>
        <w:tc>
          <w:tcPr>
            <w:tcW w:type="dxa" w:w="6192"/>
            <w:vAlign w:val="top"/>
            <w:tcMar>
              <w:top w:w="70" w:type="dxa"/>
              <w:start w:w="90" w:type="dxa"/>
              <w:bottom w:w="70" w:type="dxa"/>
              <w:end w:w="90" w:type="dxa"/>
            </w:tcMar>
          </w:tcPr>
          <w:p>
            <w:pPr>
              <w:spacing w:after="0"/>
            </w:pPr>
            <w:r>
              <w:rPr>
                <w:sz w:val="18"/>
              </w:rPr>
              <w:t>Match Result plus Invoice Exception/review as applicable.</w:t>
            </w:r>
          </w:p>
        </w:tc>
      </w:tr>
      <w:tr>
        <w:trPr>
          <w:cantSplit/>
        </w:trPr>
        <w:tc>
          <w:tcPr>
            <w:tcW w:type="dxa" w:w="4896"/>
            <w:vAlign w:val="top"/>
            <w:tcMar>
              <w:top w:w="70" w:type="dxa"/>
              <w:start w:w="90" w:type="dxa"/>
              <w:bottom w:w="70" w:type="dxa"/>
              <w:end w:w="90" w:type="dxa"/>
            </w:tcMar>
          </w:tcPr>
          <w:p>
            <w:pPr>
              <w:spacing w:after="0"/>
            </w:pPr>
            <w:r>
              <w:rPr>
                <w:sz w:val="18"/>
              </w:rPr>
              <w:t>Idempotency collision on rerun</w:t>
            </w:r>
          </w:p>
        </w:tc>
        <w:tc>
          <w:tcPr>
            <w:tcW w:type="dxa" w:w="6192"/>
            <w:vAlign w:val="top"/>
            <w:tcMar>
              <w:top w:w="70" w:type="dxa"/>
              <w:start w:w="90" w:type="dxa"/>
              <w:bottom w:w="70" w:type="dxa"/>
              <w:end w:w="90" w:type="dxa"/>
            </w:tcMar>
          </w:tcPr>
          <w:p>
            <w:pPr>
              <w:spacing w:after="0"/>
            </w:pPr>
            <w:r>
              <w:rPr>
                <w:sz w:val="18"/>
              </w:rPr>
              <w:t>Do not duplicate; route to supersession/review.</w:t>
            </w:r>
          </w:p>
        </w:tc>
      </w:tr>
      <w:tr>
        <w:trPr>
          <w:cantSplit/>
        </w:trPr>
        <w:tc>
          <w:tcPr>
            <w:tcW w:type="dxa" w:w="4896"/>
            <w:vAlign w:val="top"/>
            <w:tcMar>
              <w:top w:w="70" w:type="dxa"/>
              <w:start w:w="90" w:type="dxa"/>
              <w:bottom w:w="70" w:type="dxa"/>
              <w:end w:w="90" w:type="dxa"/>
            </w:tcMar>
          </w:tcPr>
          <w:p>
            <w:pPr>
              <w:spacing w:after="0"/>
            </w:pPr>
            <w:r>
              <w:rPr>
                <w:sz w:val="18"/>
              </w:rPr>
              <w:t>Source record changed after line generation</w:t>
            </w:r>
          </w:p>
        </w:tc>
        <w:tc>
          <w:tcPr>
            <w:tcW w:type="dxa" w:w="6192"/>
            <w:vAlign w:val="top"/>
            <w:tcMar>
              <w:top w:w="70" w:type="dxa"/>
              <w:start w:w="90" w:type="dxa"/>
              <w:bottom w:w="70" w:type="dxa"/>
              <w:end w:w="90" w:type="dxa"/>
            </w:tcMar>
          </w:tcPr>
          <w:p>
            <w:pPr>
              <w:spacing w:after="0"/>
            </w:pPr>
            <w:r>
              <w:rPr>
                <w:sz w:val="18"/>
              </w:rPr>
              <w:t>source_record_drift; existing line remains unchanged.</w:t>
            </w:r>
          </w:p>
        </w:tc>
      </w:tr>
      <w:tr>
        <w:trPr>
          <w:cantSplit/>
        </w:trPr>
        <w:tc>
          <w:tcPr>
            <w:tcW w:type="dxa" w:w="4896"/>
            <w:vAlign w:val="top"/>
            <w:tcMar>
              <w:top w:w="70" w:type="dxa"/>
              <w:start w:w="90" w:type="dxa"/>
              <w:bottom w:w="70" w:type="dxa"/>
              <w:end w:w="90" w:type="dxa"/>
            </w:tcMar>
          </w:tcPr>
          <w:p>
            <w:pPr>
              <w:spacing w:after="0"/>
            </w:pPr>
            <w:r>
              <w:rPr>
                <w:sz w:val="18"/>
              </w:rPr>
              <w:t>Company/billing scope cannot resolve</w:t>
            </w:r>
          </w:p>
        </w:tc>
        <w:tc>
          <w:tcPr>
            <w:tcW w:type="dxa" w:w="6192"/>
            <w:vAlign w:val="top"/>
            <w:tcMar>
              <w:top w:w="70" w:type="dxa"/>
              <w:start w:w="90" w:type="dxa"/>
              <w:bottom w:w="70" w:type="dxa"/>
              <w:end w:w="90" w:type="dxa"/>
            </w:tcMar>
          </w:tcPr>
          <w:p>
            <w:pPr>
              <w:spacing w:after="0"/>
            </w:pPr>
            <w:r>
              <w:rPr>
                <w:sz w:val="18"/>
              </w:rPr>
              <w:t>configuration/review required.</w:t>
            </w:r>
          </w:p>
        </w:tc>
      </w:tr>
      <w:tr>
        <w:trPr>
          <w:cantSplit/>
        </w:trPr>
        <w:tc>
          <w:tcPr>
            <w:tcW w:type="dxa" w:w="4896"/>
            <w:vAlign w:val="top"/>
            <w:tcMar>
              <w:top w:w="70" w:type="dxa"/>
              <w:start w:w="90" w:type="dxa"/>
              <w:bottom w:w="70" w:type="dxa"/>
              <w:end w:w="90" w:type="dxa"/>
            </w:tcMar>
          </w:tcPr>
          <w:p>
            <w:pPr>
              <w:spacing w:after="0"/>
            </w:pPr>
            <w:r>
              <w:rPr>
                <w:sz w:val="18"/>
              </w:rPr>
              <w:t>Missing QuickBooks customer/vendor mapping</w:t>
            </w:r>
          </w:p>
        </w:tc>
        <w:tc>
          <w:tcPr>
            <w:tcW w:type="dxa" w:w="6192"/>
            <w:vAlign w:val="top"/>
            <w:tcMar>
              <w:top w:w="70" w:type="dxa"/>
              <w:start w:w="90" w:type="dxa"/>
              <w:bottom w:w="70" w:type="dxa"/>
              <w:end w:w="90" w:type="dxa"/>
            </w:tcMar>
          </w:tcPr>
          <w:p>
            <w:pPr>
              <w:spacing w:after="0"/>
            </w:pPr>
            <w:r>
              <w:rPr>
                <w:sz w:val="18"/>
              </w:rPr>
              <w:t>Block handoff; do not bypass.</w:t>
            </w:r>
          </w:p>
        </w:tc>
      </w:tr>
      <w:tr>
        <w:trPr>
          <w:cantSplit/>
        </w:trPr>
        <w:tc>
          <w:tcPr>
            <w:tcW w:type="dxa" w:w="4896"/>
            <w:vAlign w:val="top"/>
            <w:tcMar>
              <w:top w:w="70" w:type="dxa"/>
              <w:start w:w="90" w:type="dxa"/>
              <w:bottom w:w="70" w:type="dxa"/>
              <w:end w:w="90" w:type="dxa"/>
            </w:tcMar>
          </w:tcPr>
          <w:p>
            <w:pPr>
              <w:spacing w:after="0"/>
            </w:pPr>
            <w:r>
              <w:rPr>
                <w:sz w:val="18"/>
              </w:rPr>
              <w:t>No approval owner configured</w:t>
            </w:r>
          </w:p>
        </w:tc>
        <w:tc>
          <w:tcPr>
            <w:tcW w:type="dxa" w:w="6192"/>
            <w:vAlign w:val="top"/>
            <w:tcMar>
              <w:top w:w="70" w:type="dxa"/>
              <w:start w:w="90" w:type="dxa"/>
              <w:bottom w:w="70" w:type="dxa"/>
              <w:end w:w="90" w:type="dxa"/>
            </w:tcMar>
          </w:tcPr>
          <w:p>
            <w:pPr>
              <w:spacing w:after="0"/>
            </w:pPr>
            <w:r>
              <w:rPr>
                <w:sz w:val="18"/>
              </w:rPr>
              <w:t>configuration_required; route authority through check_access.</w:t>
            </w:r>
          </w:p>
        </w:tc>
      </w:tr>
    </w:tbl>
    <w:p>
      <w:pPr>
        <w:spacing w:after="20"/>
      </w:pPr>
    </w:p>
    <w:p>
      <w:pPr>
        <w:pStyle w:val="Heading1"/>
      </w:pPr>
      <w:r>
        <w:t>13. CIXCI Admin Review and Approval</w:t>
      </w:r>
    </w:p>
    <w:p>
      <w:pPr>
        <w:spacing w:after="40"/>
      </w:pPr>
      <w:r/>
      <w:r>
        <w:t>1.  Review generated Invoice Run output and Invoice Reports.</w:t>
      </w:r>
    </w:p>
    <w:p>
      <w:pPr>
        <w:spacing w:after="40"/>
      </w:pPr>
      <w:r/>
      <w:r>
        <w:t>2.  Drill into Invoice Lines and source/evidence references.</w:t>
      </w:r>
    </w:p>
    <w:p>
      <w:pPr>
        <w:spacing w:after="40"/>
      </w:pPr>
      <w:r/>
      <w:r>
        <w:t>3.  Review Vendor reconciliation Match Results.</w:t>
      </w:r>
    </w:p>
    <w:p>
      <w:pPr>
        <w:spacing w:after="40"/>
      </w:pPr>
      <w:r/>
      <w:r>
        <w:t>4.  Review, acknowledge, or resolve permitted Invoice Exceptions.</w:t>
      </w:r>
    </w:p>
    <w:p>
      <w:pPr>
        <w:spacing w:after="40"/>
      </w:pPr>
      <w:r/>
      <w:r>
        <w:t>5.  Trigger regeneration/supersession when authorized; never silently overwrite issued lines.</w:t>
      </w:r>
    </w:p>
    <w:p>
      <w:pPr>
        <w:spacing w:after="40"/>
      </w:pPr>
      <w:r/>
      <w:r>
        <w:t>6.  Approve the Invoice only when required evidence and exception rules pass.</w:t>
      </w:r>
    </w:p>
    <w:p>
      <w:pPr>
        <w:spacing w:after="40"/>
      </w:pPr>
      <w:r/>
      <w:r>
        <w:t>7.  Mark the Vendor payable package approved-ready when its prerequisites are satisfied.</w:t>
      </w:r>
    </w:p>
    <w:tbl>
      <w:tblPr>
        <w:tblStyle w:val="TableGrid"/>
        <w:tblW w:type="auto" w:w="0"/>
        <w:tblLook w:firstColumn="1" w:firstRow="1" w:lastColumn="0" w:lastRow="0" w:noHBand="0" w:noVBand="1" w:val="04A0"/>
      </w:tblPr>
      <w:tblGrid>
        <w:gridCol w:w="10224"/>
      </w:tblGrid>
      <w:tr>
        <w:trPr>
          <w:cantSplit/>
        </w:trPr>
        <w:tc>
          <w:tcPr>
            <w:tcW w:type="dxa" w:w="10224"/>
            <w:shd w:fill="FFF2CC"/>
            <w:tcMar>
              <w:top w:w="100" w:type="dxa"/>
              <w:start w:w="110" w:type="dxa"/>
              <w:bottom w:w="100" w:type="dxa"/>
              <w:end w:w="110" w:type="dxa"/>
            </w:tcMar>
          </w:tcPr>
          <w:p>
            <w:pPr>
              <w:spacing w:after="0"/>
            </w:pPr>
            <w:r>
              <w:rPr>
                <w:b/>
                <w:color w:val="17365D"/>
                <w:sz w:val="21"/>
              </w:rPr>
              <w:t>Approval Rule</w:t>
              <w:br/>
            </w:r>
            <w:r>
              <w:rPr>
                <w:sz w:val="20"/>
              </w:rPr>
              <w:t>Blocking exceptions prevent approval/readiness. Approval authority must be checked through Tenant Company check_access; do not authorize solely from a role label.</w:t>
            </w:r>
          </w:p>
        </w:tc>
      </w:tr>
    </w:tbl>
    <w:p>
      <w:pPr>
        <w:spacing w:after="20"/>
      </w:pPr>
    </w:p>
    <w:p>
      <w:pPr>
        <w:pStyle w:val="Heading1"/>
      </w:pPr>
      <w:r>
        <w:t>14. Vendor Payable Package Readiness</w:t>
      </w:r>
    </w:p>
    <w:p>
      <w:r>
        <w:t>The current architecture supports a determination that a Vendor payable package is approved-ready. It does not execute payment.</w:t>
      </w:r>
    </w:p>
    <w:p>
      <w:pPr>
        <w:pStyle w:val="ListBullet"/>
        <w:spacing w:after="40"/>
      </w:pPr>
      <w:r>
        <w:t>All in-scope Vendor invoices are approved.</w:t>
      </w:r>
    </w:p>
    <w:p>
      <w:pPr>
        <w:pStyle w:val="ListBullet"/>
        <w:spacing w:after="40"/>
      </w:pPr>
      <w:r>
        <w:t>Reconciliation is reconciled or reconciled_with_exceptions.</w:t>
      </w:r>
    </w:p>
    <w:p>
      <w:pPr>
        <w:pStyle w:val="ListBullet"/>
        <w:spacing w:after="40"/>
      </w:pPr>
      <w:r>
        <w:t>Critical exceptions are resolved.</w:t>
      </w:r>
    </w:p>
    <w:p>
      <w:pPr>
        <w:pStyle w:val="ListBullet"/>
        <w:spacing w:after="40"/>
      </w:pPr>
      <w:r>
        <w:t>No blocking exceptions remain.</w:t>
      </w:r>
    </w:p>
    <w:p>
      <w:pPr>
        <w:pStyle w:val="Heading1"/>
      </w:pPr>
      <w:r>
        <w:t>15. QuickBooks Handoff Boundary</w:t>
      </w:r>
    </w:p>
    <w:tbl>
      <w:tblPr>
        <w:tblStyle w:val="TableGrid"/>
        <w:tblW w:type="auto" w:w="0"/>
        <w:tblLook w:firstColumn="1" w:firstRow="1" w:lastColumn="0" w:lastRow="0" w:noHBand="0" w:noVBand="1" w:val="04A0"/>
      </w:tblPr>
      <w:tblGrid>
        <w:gridCol w:w="10224"/>
      </w:tblGrid>
      <w:tr>
        <w:trPr>
          <w:cantSplit/>
        </w:trPr>
        <w:tc>
          <w:tcPr>
            <w:tcW w:type="dxa" w:w="10224"/>
            <w:shd w:fill="FCE4D6"/>
            <w:tcMar>
              <w:top w:w="100" w:type="dxa"/>
              <w:start w:w="110" w:type="dxa"/>
              <w:bottom w:w="100" w:type="dxa"/>
              <w:end w:w="110" w:type="dxa"/>
            </w:tcMar>
          </w:tcPr>
          <w:p>
            <w:pPr>
              <w:spacing w:after="0"/>
            </w:pPr>
            <w:r>
              <w:rPr>
                <w:b/>
                <w:color w:val="17365D"/>
                <w:sz w:val="21"/>
              </w:rPr>
              <w:t>Current Build Boundary</w:t>
              <w:br/>
            </w:r>
            <w:r>
              <w:rPr>
                <w:sz w:val="20"/>
              </w:rPr>
              <w:t>Invoice Management creates the QuickBooks handoff request/reference. It must NOT directly call the QuickBooks API. Integration Management owns the future provider transport, response, retry, and sync outcome. QuickBooks owns the external ledger, payment, tax, and accounting state.</w:t>
            </w:r>
          </w:p>
        </w:tc>
      </w:tr>
    </w:tbl>
    <w:p>
      <w:pPr>
        <w:spacing w:after="20"/>
      </w:pP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shd w:fill="17365D"/>
            <w:vAlign w:val="center"/>
            <w:tcMar>
              <w:top w:w="70" w:type="dxa"/>
              <w:start w:w="90" w:type="dxa"/>
              <w:bottom w:w="70" w:type="dxa"/>
              <w:end w:w="90" w:type="dxa"/>
            </w:tcMar>
          </w:tcPr>
          <w:p>
            <w:pPr>
              <w:spacing w:after="0"/>
            </w:pPr>
            <w:r>
              <w:rPr>
                <w:b/>
                <w:color w:val="FFFFFF"/>
                <w:sz w:val="18"/>
              </w:rPr>
              <w:t>Owner</w:t>
            </w:r>
          </w:p>
        </w:tc>
        <w:tc>
          <w:tcPr>
            <w:tcW w:type="dxa" w:w="8208"/>
            <w:shd w:fill="17365D"/>
            <w:vAlign w:val="center"/>
            <w:tcMar>
              <w:top w:w="70" w:type="dxa"/>
              <w:start w:w="90" w:type="dxa"/>
              <w:bottom w:w="70" w:type="dxa"/>
              <w:end w:w="90" w:type="dxa"/>
            </w:tcMar>
          </w:tcPr>
          <w:p>
            <w:pPr>
              <w:spacing w:after="0"/>
            </w:pPr>
            <w:r>
              <w:rPr>
                <w:b/>
                <w:color w:val="FFFFFF"/>
                <w:sz w:val="18"/>
              </w:rPr>
              <w:t>Responsibility</w:t>
            </w:r>
          </w:p>
        </w:tc>
      </w:tr>
      <w:tr>
        <w:trPr>
          <w:cantSplit/>
        </w:trPr>
        <w:tc>
          <w:tcPr>
            <w:tcW w:type="dxa" w:w="2880"/>
            <w:vAlign w:val="top"/>
            <w:tcMar>
              <w:top w:w="70" w:type="dxa"/>
              <w:start w:w="90" w:type="dxa"/>
              <w:bottom w:w="70" w:type="dxa"/>
              <w:end w:w="90" w:type="dxa"/>
            </w:tcMar>
          </w:tcPr>
          <w:p>
            <w:pPr>
              <w:spacing w:after="0"/>
            </w:pPr>
            <w:r>
              <w:rPr>
                <w:sz w:val="18"/>
              </w:rPr>
              <w:t>Invoice Management</w:t>
            </w:r>
          </w:p>
        </w:tc>
        <w:tc>
          <w:tcPr>
            <w:tcW w:type="dxa" w:w="8208"/>
            <w:vAlign w:val="top"/>
            <w:tcMar>
              <w:top w:w="70" w:type="dxa"/>
              <w:start w:w="90" w:type="dxa"/>
              <w:bottom w:w="70" w:type="dxa"/>
              <w:end w:w="90" w:type="dxa"/>
            </w:tcMar>
          </w:tcPr>
          <w:p>
            <w:pPr>
              <w:spacing w:after="0"/>
            </w:pPr>
            <w:r>
              <w:rPr>
                <w:sz w:val="18"/>
              </w:rPr>
              <w:t>Invoice readiness, generation, review, approval, status, payable readiness, and handoff request.</w:t>
            </w:r>
          </w:p>
        </w:tc>
      </w:tr>
      <w:tr>
        <w:trPr>
          <w:cantSplit/>
        </w:trPr>
        <w:tc>
          <w:tcPr>
            <w:tcW w:type="dxa" w:w="2880"/>
            <w:vAlign w:val="top"/>
            <w:tcMar>
              <w:top w:w="70" w:type="dxa"/>
              <w:start w:w="90" w:type="dxa"/>
              <w:bottom w:w="70" w:type="dxa"/>
              <w:end w:w="90" w:type="dxa"/>
            </w:tcMar>
          </w:tcPr>
          <w:p>
            <w:pPr>
              <w:spacing w:after="0"/>
            </w:pPr>
            <w:r>
              <w:rPr>
                <w:sz w:val="18"/>
              </w:rPr>
              <w:t>Integration Management</w:t>
            </w:r>
          </w:p>
        </w:tc>
        <w:tc>
          <w:tcPr>
            <w:tcW w:type="dxa" w:w="8208"/>
            <w:vAlign w:val="top"/>
            <w:tcMar>
              <w:top w:w="70" w:type="dxa"/>
              <w:start w:w="90" w:type="dxa"/>
              <w:bottom w:w="70" w:type="dxa"/>
              <w:end w:w="90" w:type="dxa"/>
            </w:tcMar>
          </w:tcPr>
          <w:p>
            <w:pPr>
              <w:spacing w:after="0"/>
            </w:pPr>
            <w:r>
              <w:rPr>
                <w:sz w:val="18"/>
              </w:rPr>
              <w:t>QuickBooks API transport, provider response, retries, sync outcome, external reference mapping/transport evidence.</w:t>
            </w:r>
          </w:p>
        </w:tc>
      </w:tr>
      <w:tr>
        <w:trPr>
          <w:cantSplit/>
        </w:trPr>
        <w:tc>
          <w:tcPr>
            <w:tcW w:type="dxa" w:w="2880"/>
            <w:vAlign w:val="top"/>
            <w:tcMar>
              <w:top w:w="70" w:type="dxa"/>
              <w:start w:w="90" w:type="dxa"/>
              <w:bottom w:w="70" w:type="dxa"/>
              <w:end w:w="90" w:type="dxa"/>
            </w:tcMar>
          </w:tcPr>
          <w:p>
            <w:pPr>
              <w:spacing w:after="0"/>
            </w:pPr>
            <w:r>
              <w:rPr>
                <w:sz w:val="18"/>
              </w:rPr>
              <w:t>QuickBooks</w:t>
            </w:r>
          </w:p>
        </w:tc>
        <w:tc>
          <w:tcPr>
            <w:tcW w:type="dxa" w:w="8208"/>
            <w:vAlign w:val="top"/>
            <w:tcMar>
              <w:top w:w="70" w:type="dxa"/>
              <w:start w:w="90" w:type="dxa"/>
              <w:bottom w:w="70" w:type="dxa"/>
              <w:end w:w="90" w:type="dxa"/>
            </w:tcMar>
          </w:tcPr>
          <w:p>
            <w:pPr>
              <w:spacing w:after="0"/>
            </w:pPr>
            <w:r>
              <w:rPr>
                <w:sz w:val="18"/>
              </w:rPr>
              <w:t>External invoice/bill accounting state, ledger, payment and tax/accounting state.</w:t>
            </w:r>
          </w:p>
        </w:tc>
      </w:tr>
    </w:tbl>
    <w:p>
      <w:pPr>
        <w:spacing w:after="20"/>
      </w:pPr>
    </w:p>
    <w:p>
      <w:r>
        <w:t>Because Integration Management is being implemented later in the platform sequence, the current Invoice Management implementation should expose the handoff boundary/reference without embedding a direct QuickBooks client into Invoice Management.</w:t>
      </w:r>
    </w:p>
    <w:p>
      <w:pPr>
        <w:pStyle w:val="Heading1"/>
      </w:pPr>
      <w:r>
        <w:t>16. Sync Result and Payment Boundary</w:t>
      </w:r>
    </w:p>
    <w:p>
      <w:r>
        <w:t>When Integration Management is eventually connected, the normal approved flow is expected to advance through queued_for_sync → sync_requested → synced, or to sync_failed if transport/provider synchronization fails.</w:t>
      </w:r>
    </w:p>
    <w:tbl>
      <w:tblPr>
        <w:tblStyle w:val="TableGrid"/>
        <w:tblW w:type="auto" w:w="0"/>
        <w:tblLook w:firstColumn="1" w:firstRow="1" w:lastColumn="0" w:lastRow="0" w:noHBand="0" w:noVBand="1" w:val="04A0"/>
      </w:tblPr>
      <w:tblGrid>
        <w:gridCol w:w="10224"/>
      </w:tblGrid>
      <w:tr>
        <w:trPr>
          <w:cantSplit/>
        </w:trPr>
        <w:tc>
          <w:tcPr>
            <w:tcW w:type="dxa" w:w="10224"/>
            <w:shd w:fill="FCE4D6"/>
            <w:tcMar>
              <w:top w:w="100" w:type="dxa"/>
              <w:start w:w="110" w:type="dxa"/>
              <w:bottom w:w="100" w:type="dxa"/>
              <w:end w:w="110" w:type="dxa"/>
            </w:tcMar>
          </w:tcPr>
          <w:p>
            <w:pPr>
              <w:spacing w:after="0"/>
            </w:pPr>
            <w:r>
              <w:rPr>
                <w:b/>
                <w:color w:val="17365D"/>
                <w:sz w:val="21"/>
              </w:rPr>
              <w:t>No Automatic Payment</w:t>
              <w:br/>
            </w:r>
            <w:r>
              <w:rPr>
                <w:sz w:val="20"/>
              </w:rPr>
              <w:t>CIXCI Invoice Management must never automatically submit Vendor payment. The accounting/billing person handles actual payment in QuickBooks. QuickBooks payment statuses such as paid, partially_paid, or credited are stored only as external QuickBooks references and do not become CIXCI Invoice statuses.</w:t>
            </w:r>
          </w:p>
        </w:tc>
      </w:tr>
    </w:tbl>
    <w:p>
      <w:pPr>
        <w:spacing w:after="20"/>
      </w:pPr>
    </w:p>
    <w:p>
      <w:pPr>
        <w:pStyle w:val="Heading1"/>
      </w:pPr>
      <w:r>
        <w:t>17. User-Type Behavior</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016"/>
            <w:shd w:fill="17365D"/>
            <w:vAlign w:val="center"/>
            <w:tcMar>
              <w:top w:w="70" w:type="dxa"/>
              <w:start w:w="90" w:type="dxa"/>
              <w:bottom w:w="70" w:type="dxa"/>
              <w:end w:w="90" w:type="dxa"/>
            </w:tcMar>
          </w:tcPr>
          <w:p>
            <w:pPr>
              <w:spacing w:after="0"/>
            </w:pPr>
            <w:r>
              <w:rPr>
                <w:b/>
                <w:color w:val="FFFFFF"/>
                <w:sz w:val="18"/>
              </w:rPr>
              <w:t>User Type</w:t>
            </w:r>
          </w:p>
        </w:tc>
        <w:tc>
          <w:tcPr>
            <w:tcW w:type="dxa" w:w="4896"/>
            <w:shd w:fill="17365D"/>
            <w:vAlign w:val="center"/>
            <w:tcMar>
              <w:top w:w="70" w:type="dxa"/>
              <w:start w:w="90" w:type="dxa"/>
              <w:bottom w:w="70" w:type="dxa"/>
              <w:end w:w="90" w:type="dxa"/>
            </w:tcMar>
          </w:tcPr>
          <w:p>
            <w:pPr>
              <w:spacing w:after="0"/>
            </w:pPr>
            <w:r>
              <w:rPr>
                <w:b/>
                <w:color w:val="FFFFFF"/>
                <w:sz w:val="18"/>
              </w:rPr>
              <w:t>Can</w:t>
            </w:r>
          </w:p>
        </w:tc>
        <w:tc>
          <w:tcPr>
            <w:tcW w:type="dxa" w:w="4752"/>
            <w:shd w:fill="17365D"/>
            <w:vAlign w:val="center"/>
            <w:tcMar>
              <w:top w:w="70" w:type="dxa"/>
              <w:start w:w="90" w:type="dxa"/>
              <w:bottom w:w="70" w:type="dxa"/>
              <w:end w:w="90" w:type="dxa"/>
            </w:tcMar>
          </w:tcPr>
          <w:p>
            <w:pPr>
              <w:spacing w:after="0"/>
            </w:pPr>
            <w:r>
              <w:rPr>
                <w:b/>
                <w:color w:val="FFFFFF"/>
                <w:sz w:val="18"/>
              </w:rPr>
              <w:t>Cannot</w:t>
            </w:r>
          </w:p>
        </w:tc>
      </w:tr>
      <w:tr>
        <w:trPr>
          <w:cantSplit/>
        </w:trPr>
        <w:tc>
          <w:tcPr>
            <w:tcW w:type="dxa" w:w="2016"/>
            <w:vAlign w:val="top"/>
            <w:tcMar>
              <w:top w:w="70" w:type="dxa"/>
              <w:start w:w="90" w:type="dxa"/>
              <w:bottom w:w="70" w:type="dxa"/>
              <w:end w:w="90" w:type="dxa"/>
            </w:tcMar>
          </w:tcPr>
          <w:p>
            <w:pPr>
              <w:spacing w:after="0"/>
            </w:pPr>
            <w:r>
              <w:rPr>
                <w:sz w:val="18"/>
              </w:rPr>
              <w:t>Vendor</w:t>
            </w:r>
          </w:p>
        </w:tc>
        <w:tc>
          <w:tcPr>
            <w:tcW w:type="dxa" w:w="4896"/>
            <w:vAlign w:val="top"/>
            <w:tcMar>
              <w:top w:w="70" w:type="dxa"/>
              <w:start w:w="90" w:type="dxa"/>
              <w:bottom w:w="70" w:type="dxa"/>
              <w:end w:w="90" w:type="dxa"/>
            </w:tcMar>
          </w:tcPr>
          <w:p>
            <w:pPr>
              <w:spacing w:after="0"/>
            </w:pPr>
            <w:r>
              <w:rPr>
                <w:sz w:val="18"/>
              </w:rPr>
              <w:t>Upload own month-end reconciliation file; view own match results/exceptions; view own vendor statement/payable-package state.</w:t>
            </w:r>
          </w:p>
        </w:tc>
        <w:tc>
          <w:tcPr>
            <w:tcW w:type="dxa" w:w="4752"/>
            <w:vAlign w:val="top"/>
            <w:tcMar>
              <w:top w:w="70" w:type="dxa"/>
              <w:start w:w="90" w:type="dxa"/>
              <w:bottom w:w="70" w:type="dxa"/>
              <w:end w:w="90" w:type="dxa"/>
            </w:tcMar>
          </w:tcPr>
          <w:p>
            <w:pPr>
              <w:spacing w:after="0"/>
            </w:pPr>
            <w:r>
              <w:rPr>
                <w:sz w:val="18"/>
              </w:rPr>
              <w:t>Mutate CIXCI source records; approve invoices; trigger payment; see another Vendor invoice; reduce invoiceable amount merely by reporting a refund.</w:t>
            </w:r>
          </w:p>
        </w:tc>
      </w:tr>
      <w:tr>
        <w:trPr>
          <w:cantSplit/>
        </w:trPr>
        <w:tc>
          <w:tcPr>
            <w:tcW w:type="dxa" w:w="2016"/>
            <w:vAlign w:val="top"/>
            <w:tcMar>
              <w:top w:w="70" w:type="dxa"/>
              <w:start w:w="90" w:type="dxa"/>
              <w:bottom w:w="70" w:type="dxa"/>
              <w:end w:w="90" w:type="dxa"/>
            </w:tcMar>
          </w:tcPr>
          <w:p>
            <w:pPr>
              <w:spacing w:after="0"/>
            </w:pPr>
            <w:r>
              <w:rPr>
                <w:sz w:val="18"/>
              </w:rPr>
              <w:t>Buyer</w:t>
            </w:r>
          </w:p>
        </w:tc>
        <w:tc>
          <w:tcPr>
            <w:tcW w:type="dxa" w:w="4896"/>
            <w:vAlign w:val="top"/>
            <w:tcMar>
              <w:top w:w="70" w:type="dxa"/>
              <w:start w:w="90" w:type="dxa"/>
              <w:bottom w:w="70" w:type="dxa"/>
              <w:end w:w="90" w:type="dxa"/>
            </w:tcMar>
          </w:tcPr>
          <w:p>
            <w:pPr>
              <w:spacing w:after="0"/>
            </w:pPr>
            <w:r>
              <w:rPr>
                <w:sz w:val="18"/>
              </w:rPr>
              <w:t>View own invoices/reports; drill into own Invoice Lines; export own report where authorized.</w:t>
            </w:r>
          </w:p>
        </w:tc>
        <w:tc>
          <w:tcPr>
            <w:tcW w:type="dxa" w:w="4752"/>
            <w:vAlign w:val="top"/>
            <w:tcMar>
              <w:top w:w="70" w:type="dxa"/>
              <w:start w:w="90" w:type="dxa"/>
              <w:bottom w:w="70" w:type="dxa"/>
              <w:end w:w="90" w:type="dxa"/>
            </w:tcMar>
          </w:tcPr>
          <w:p>
            <w:pPr>
              <w:spacing w:after="0"/>
            </w:pPr>
            <w:r>
              <w:rPr>
                <w:sz w:val="18"/>
              </w:rPr>
              <w:t>See another Buyer invoice; see CIXCI internal commission reports; approve or modify invoices.</w:t>
            </w:r>
          </w:p>
        </w:tc>
      </w:tr>
      <w:tr>
        <w:trPr>
          <w:cantSplit/>
        </w:trPr>
        <w:tc>
          <w:tcPr>
            <w:tcW w:type="dxa" w:w="2016"/>
            <w:vAlign w:val="top"/>
            <w:tcMar>
              <w:top w:w="70" w:type="dxa"/>
              <w:start w:w="90" w:type="dxa"/>
              <w:bottom w:w="70" w:type="dxa"/>
              <w:end w:w="90" w:type="dxa"/>
            </w:tcMar>
          </w:tcPr>
          <w:p>
            <w:pPr>
              <w:spacing w:after="0"/>
            </w:pPr>
            <w:r>
              <w:rPr>
                <w:sz w:val="18"/>
              </w:rPr>
              <w:t>CIXCI Admin</w:t>
            </w:r>
          </w:p>
        </w:tc>
        <w:tc>
          <w:tcPr>
            <w:tcW w:type="dxa" w:w="4896"/>
            <w:vAlign w:val="top"/>
            <w:tcMar>
              <w:top w:w="70" w:type="dxa"/>
              <w:start w:w="90" w:type="dxa"/>
              <w:bottom w:w="70" w:type="dxa"/>
              <w:end w:w="90" w:type="dxa"/>
            </w:tcMar>
          </w:tcPr>
          <w:p>
            <w:pPr>
              <w:spacing w:after="0"/>
            </w:pPr>
            <w:r>
              <w:rPr>
                <w:sz w:val="18"/>
              </w:rPr>
              <w:t>Create Invoice Run; select period; review output/exceptions; approve invoices; mark Vendor payable package approved-ready; request QuickBooks handoff; export reports; trigger regeneration/supersession.</w:t>
            </w:r>
          </w:p>
        </w:tc>
        <w:tc>
          <w:tcPr>
            <w:tcW w:type="dxa" w:w="4752"/>
            <w:vAlign w:val="top"/>
            <w:tcMar>
              <w:top w:w="70" w:type="dxa"/>
              <w:start w:w="90" w:type="dxa"/>
              <w:bottom w:w="70" w:type="dxa"/>
              <w:end w:w="90" w:type="dxa"/>
            </w:tcMar>
          </w:tcPr>
          <w:p>
            <w:pPr>
              <w:spacing w:after="0"/>
            </w:pPr>
            <w:r>
              <w:rPr>
                <w:sz w:val="18"/>
              </w:rPr>
              <w:t>Submit Vendor payment; mutate an issued Invoice Line; recalculate a price or commission.</w:t>
            </w:r>
          </w:p>
        </w:tc>
      </w:tr>
    </w:tbl>
    <w:p>
      <w:pPr>
        <w:spacing w:after="20"/>
      </w:pPr>
    </w:p>
    <w:p>
      <w:pPr>
        <w:pStyle w:val="Heading1"/>
      </w:pPr>
      <w:r>
        <w:t>18. Current Business Policy Inputs</w:t>
      </w:r>
    </w:p>
    <w:p>
      <w:r>
        <w:t>The following business policy informs the source evidence supplied to Invoice Management. These values must remain owned/configured by the appropriate modules and should not be hard-coded into Invoice Management calculations.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024"/>
            <w:shd w:fill="17365D"/>
            <w:vAlign w:val="center"/>
            <w:tcMar>
              <w:top w:w="70" w:type="dxa"/>
              <w:start w:w="90" w:type="dxa"/>
              <w:bottom w:w="70" w:type="dxa"/>
              <w:end w:w="90" w:type="dxa"/>
            </w:tcMar>
          </w:tcPr>
          <w:p>
            <w:pPr>
              <w:spacing w:after="0"/>
            </w:pPr>
            <w:r>
              <w:rPr>
                <w:b/>
                <w:color w:val="FFFFFF"/>
                <w:sz w:val="18"/>
              </w:rPr>
              <w:t>Policy</w:t>
            </w:r>
          </w:p>
        </w:tc>
        <w:tc>
          <w:tcPr>
            <w:tcW w:type="dxa" w:w="4032"/>
            <w:shd w:fill="17365D"/>
            <w:vAlign w:val="center"/>
            <w:tcMar>
              <w:top w:w="70" w:type="dxa"/>
              <w:start w:w="90" w:type="dxa"/>
              <w:bottom w:w="70" w:type="dxa"/>
              <w:end w:w="90" w:type="dxa"/>
            </w:tcMar>
          </w:tcPr>
          <w:p>
            <w:pPr>
              <w:spacing w:after="0"/>
            </w:pPr>
            <w:r>
              <w:rPr>
                <w:b/>
                <w:color w:val="FFFFFF"/>
                <w:sz w:val="18"/>
              </w:rPr>
              <w:t>Current Direction</w:t>
            </w:r>
          </w:p>
        </w:tc>
        <w:tc>
          <w:tcPr>
            <w:tcW w:type="dxa" w:w="4608"/>
            <w:shd w:fill="17365D"/>
            <w:vAlign w:val="center"/>
            <w:tcMar>
              <w:top w:w="70" w:type="dxa"/>
              <w:start w:w="90" w:type="dxa"/>
              <w:bottom w:w="70" w:type="dxa"/>
              <w:end w:w="90" w:type="dxa"/>
            </w:tcMar>
          </w:tcPr>
          <w:p>
            <w:pPr>
              <w:spacing w:after="0"/>
            </w:pPr>
            <w:r>
              <w:rPr>
                <w:b/>
                <w:color w:val="FFFFFF"/>
                <w:sz w:val="18"/>
              </w:rPr>
              <w:t>Invoice Management Treatment</w:t>
            </w:r>
          </w:p>
        </w:tc>
      </w:tr>
      <w:tr>
        <w:trPr>
          <w:cantSplit/>
        </w:trPr>
        <w:tc>
          <w:tcPr>
            <w:tcW w:type="dxa" w:w="3024"/>
            <w:vAlign w:val="top"/>
            <w:tcMar>
              <w:top w:w="70" w:type="dxa"/>
              <w:start w:w="90" w:type="dxa"/>
              <w:bottom w:w="70" w:type="dxa"/>
              <w:end w:w="90" w:type="dxa"/>
            </w:tcMar>
          </w:tcPr>
          <w:p>
            <w:pPr>
              <w:spacing w:after="0"/>
            </w:pPr>
            <w:r>
              <w:rPr>
                <w:sz w:val="18"/>
              </w:rPr>
              <w:t>Billing cycle</w:t>
            </w:r>
          </w:p>
        </w:tc>
        <w:tc>
          <w:tcPr>
            <w:tcW w:type="dxa" w:w="4032"/>
            <w:vAlign w:val="top"/>
            <w:tcMar>
              <w:top w:w="70" w:type="dxa"/>
              <w:start w:w="90" w:type="dxa"/>
              <w:bottom w:w="70" w:type="dxa"/>
              <w:end w:w="90" w:type="dxa"/>
            </w:tcMar>
          </w:tcPr>
          <w:p>
            <w:pPr>
              <w:spacing w:after="0"/>
            </w:pPr>
            <w:r>
              <w:rPr>
                <w:sz w:val="18"/>
              </w:rPr>
              <w:t>Monthly; approved date range using Eastern Time.</w:t>
            </w:r>
          </w:p>
        </w:tc>
        <w:tc>
          <w:tcPr>
            <w:tcW w:type="dxa" w:w="4608"/>
            <w:vAlign w:val="top"/>
            <w:tcMar>
              <w:top w:w="70" w:type="dxa"/>
              <w:start w:w="90" w:type="dxa"/>
              <w:bottom w:w="70" w:type="dxa"/>
              <w:end w:w="90" w:type="dxa"/>
            </w:tcMar>
          </w:tcPr>
          <w:p>
            <w:pPr>
              <w:spacing w:after="0"/>
            </w:pPr>
            <w:r>
              <w:rPr>
                <w:sz w:val="18"/>
              </w:rPr>
              <w:t>Uses the configured Invoice Period/window.</w:t>
            </w:r>
          </w:p>
        </w:tc>
      </w:tr>
      <w:tr>
        <w:trPr>
          <w:cantSplit/>
        </w:trPr>
        <w:tc>
          <w:tcPr>
            <w:tcW w:type="dxa" w:w="3024"/>
            <w:vAlign w:val="top"/>
            <w:tcMar>
              <w:top w:w="70" w:type="dxa"/>
              <w:start w:w="90" w:type="dxa"/>
              <w:bottom w:w="70" w:type="dxa"/>
              <w:end w:w="90" w:type="dxa"/>
            </w:tcMar>
          </w:tcPr>
          <w:p>
            <w:pPr>
              <w:spacing w:after="0"/>
            </w:pPr>
            <w:r>
              <w:rPr>
                <w:sz w:val="18"/>
              </w:rPr>
              <w:t>Invoice activity basis</w:t>
            </w:r>
          </w:p>
        </w:tc>
        <w:tc>
          <w:tcPr>
            <w:tcW w:type="dxa" w:w="4032"/>
            <w:vAlign w:val="top"/>
            <w:tcMar>
              <w:top w:w="70" w:type="dxa"/>
              <w:start w:w="90" w:type="dxa"/>
              <w:bottom w:w="70" w:type="dxa"/>
              <w:end w:w="90" w:type="dxa"/>
            </w:tcMar>
          </w:tcPr>
          <w:p>
            <w:pPr>
              <w:spacing w:after="0"/>
            </w:pPr>
            <w:r>
              <w:rPr>
                <w:sz w:val="18"/>
              </w:rPr>
              <w:t>Delivered and Return Refunded activity.</w:t>
            </w:r>
          </w:p>
        </w:tc>
        <w:tc>
          <w:tcPr>
            <w:tcW w:type="dxa" w:w="4608"/>
            <w:vAlign w:val="top"/>
            <w:tcMar>
              <w:top w:w="70" w:type="dxa"/>
              <w:start w:w="90" w:type="dxa"/>
              <w:bottom w:w="70" w:type="dxa"/>
              <w:end w:w="90" w:type="dxa"/>
            </w:tcMar>
          </w:tcPr>
          <w:p>
            <w:pPr>
              <w:spacing w:after="0"/>
            </w:pPr>
            <w:r>
              <w:rPr>
                <w:sz w:val="18"/>
              </w:rPr>
              <w:t>Consumes accepted delivery/refund evidence.</w:t>
            </w:r>
          </w:p>
        </w:tc>
      </w:tr>
      <w:tr>
        <w:trPr>
          <w:cantSplit/>
        </w:trPr>
        <w:tc>
          <w:tcPr>
            <w:tcW w:type="dxa" w:w="3024"/>
            <w:vAlign w:val="top"/>
            <w:tcMar>
              <w:top w:w="70" w:type="dxa"/>
              <w:start w:w="90" w:type="dxa"/>
              <w:bottom w:w="70" w:type="dxa"/>
              <w:end w:w="90" w:type="dxa"/>
            </w:tcMar>
          </w:tcPr>
          <w:p>
            <w:pPr>
              <w:spacing w:after="0"/>
            </w:pPr>
            <w:r>
              <w:rPr>
                <w:sz w:val="18"/>
              </w:rPr>
              <w:t>Buyer-side commission</w:t>
            </w:r>
          </w:p>
        </w:tc>
        <w:tc>
          <w:tcPr>
            <w:tcW w:type="dxa" w:w="4032"/>
            <w:vAlign w:val="top"/>
            <w:tcMar>
              <w:top w:w="70" w:type="dxa"/>
              <w:start w:w="90" w:type="dxa"/>
              <w:bottom w:w="70" w:type="dxa"/>
              <w:end w:w="90" w:type="dxa"/>
            </w:tcMar>
          </w:tcPr>
          <w:p>
            <w:pPr>
              <w:spacing w:after="0"/>
            </w:pPr>
            <w:r>
              <w:rPr>
                <w:sz w:val="18"/>
              </w:rPr>
              <w:t>Current default policy is 14% unless an approved exception applies.</w:t>
            </w:r>
          </w:p>
        </w:tc>
        <w:tc>
          <w:tcPr>
            <w:tcW w:type="dxa" w:w="4608"/>
            <w:vAlign w:val="top"/>
            <w:tcMar>
              <w:top w:w="70" w:type="dxa"/>
              <w:start w:w="90" w:type="dxa"/>
              <w:bottom w:w="70" w:type="dxa"/>
              <w:end w:w="90" w:type="dxa"/>
            </w:tcMar>
          </w:tcPr>
          <w:p>
            <w:pPr>
              <w:spacing w:after="0"/>
            </w:pPr>
            <w:r>
              <w:rPr>
                <w:sz w:val="18"/>
              </w:rPr>
              <w:t>Consumes the Pricing/Commission Snapshot; does not calculate 14% itself.</w:t>
            </w:r>
          </w:p>
        </w:tc>
      </w:tr>
      <w:tr>
        <w:trPr>
          <w:cantSplit/>
        </w:trPr>
        <w:tc>
          <w:tcPr>
            <w:tcW w:type="dxa" w:w="3024"/>
            <w:vAlign w:val="top"/>
            <w:tcMar>
              <w:top w:w="70" w:type="dxa"/>
              <w:start w:w="90" w:type="dxa"/>
              <w:bottom w:w="70" w:type="dxa"/>
              <w:end w:w="90" w:type="dxa"/>
            </w:tcMar>
          </w:tcPr>
          <w:p>
            <w:pPr>
              <w:spacing w:after="0"/>
            </w:pPr>
            <w:r>
              <w:rPr>
                <w:sz w:val="18"/>
              </w:rPr>
              <w:t>Vendor-side commission</w:t>
            </w:r>
          </w:p>
        </w:tc>
        <w:tc>
          <w:tcPr>
            <w:tcW w:type="dxa" w:w="4032"/>
            <w:vAlign w:val="top"/>
            <w:tcMar>
              <w:top w:w="70" w:type="dxa"/>
              <w:start w:w="90" w:type="dxa"/>
              <w:bottom w:w="70" w:type="dxa"/>
              <w:end w:w="90" w:type="dxa"/>
            </w:tcMar>
          </w:tcPr>
          <w:p>
            <w:pPr>
              <w:spacing w:after="0"/>
            </w:pPr>
            <w:r>
              <w:rPr>
                <w:sz w:val="18"/>
              </w:rPr>
              <w:t>Default 0% unless an approved signed exception applies.</w:t>
            </w:r>
          </w:p>
        </w:tc>
        <w:tc>
          <w:tcPr>
            <w:tcW w:type="dxa" w:w="4608"/>
            <w:vAlign w:val="top"/>
            <w:tcMar>
              <w:top w:w="70" w:type="dxa"/>
              <w:start w:w="90" w:type="dxa"/>
              <w:bottom w:w="70" w:type="dxa"/>
              <w:end w:w="90" w:type="dxa"/>
            </w:tcMar>
          </w:tcPr>
          <w:p>
            <w:pPr>
              <w:spacing w:after="0"/>
            </w:pPr>
            <w:r>
              <w:rPr>
                <w:sz w:val="18"/>
              </w:rPr>
              <w:t>Consumes Pricing evidence; does not infer or calculate.</w:t>
            </w:r>
          </w:p>
        </w:tc>
      </w:tr>
      <w:tr>
        <w:trPr>
          <w:cantSplit/>
        </w:trPr>
        <w:tc>
          <w:tcPr>
            <w:tcW w:type="dxa" w:w="3024"/>
            <w:vAlign w:val="top"/>
            <w:tcMar>
              <w:top w:w="70" w:type="dxa"/>
              <w:start w:w="90" w:type="dxa"/>
              <w:bottom w:w="70" w:type="dxa"/>
              <w:end w:w="90" w:type="dxa"/>
            </w:tcMar>
          </w:tcPr>
          <w:p>
            <w:pPr>
              <w:spacing w:after="0"/>
            </w:pPr>
            <w:r>
              <w:rPr>
                <w:sz w:val="18"/>
              </w:rPr>
              <w:t>Vendor payment basis</w:t>
            </w:r>
          </w:p>
        </w:tc>
        <w:tc>
          <w:tcPr>
            <w:tcW w:type="dxa" w:w="4032"/>
            <w:vAlign w:val="top"/>
            <w:tcMar>
              <w:top w:w="70" w:type="dxa"/>
              <w:start w:w="90" w:type="dxa"/>
              <w:bottom w:w="70" w:type="dxa"/>
              <w:end w:w="90" w:type="dxa"/>
            </w:tcMar>
          </w:tcPr>
          <w:p>
            <w:pPr>
              <w:spacing w:after="0"/>
            </w:pPr>
            <w:r>
              <w:rPr>
                <w:sz w:val="18"/>
              </w:rPr>
              <w:t>Vendor Wholesale Price under the approved pricing model.</w:t>
            </w:r>
          </w:p>
        </w:tc>
        <w:tc>
          <w:tcPr>
            <w:tcW w:type="dxa" w:w="4608"/>
            <w:vAlign w:val="top"/>
            <w:tcMar>
              <w:top w:w="70" w:type="dxa"/>
              <w:start w:w="90" w:type="dxa"/>
              <w:bottom w:w="70" w:type="dxa"/>
              <w:end w:w="90" w:type="dxa"/>
            </w:tcMar>
          </w:tcPr>
          <w:p>
            <w:pPr>
              <w:spacing w:after="0"/>
            </w:pPr>
            <w:r>
              <w:rPr>
                <w:sz w:val="18"/>
              </w:rPr>
              <w:t>Consumes the Pricing snapshot; does not derive VWP.</w:t>
            </w:r>
          </w:p>
        </w:tc>
      </w:tr>
      <w:tr>
        <w:trPr>
          <w:cantSplit/>
        </w:trPr>
        <w:tc>
          <w:tcPr>
            <w:tcW w:type="dxa" w:w="3024"/>
            <w:vAlign w:val="top"/>
            <w:tcMar>
              <w:top w:w="70" w:type="dxa"/>
              <w:start w:w="90" w:type="dxa"/>
              <w:bottom w:w="70" w:type="dxa"/>
              <w:end w:w="90" w:type="dxa"/>
            </w:tcMar>
          </w:tcPr>
          <w:p>
            <w:pPr>
              <w:spacing w:after="0"/>
            </w:pPr>
            <w:r>
              <w:rPr>
                <w:sz w:val="18"/>
              </w:rPr>
              <w:t>Payment terms</w:t>
            </w:r>
          </w:p>
        </w:tc>
        <w:tc>
          <w:tcPr>
            <w:tcW w:type="dxa" w:w="4032"/>
            <w:vAlign w:val="top"/>
            <w:tcMar>
              <w:top w:w="70" w:type="dxa"/>
              <w:start w:w="90" w:type="dxa"/>
              <w:bottom w:w="70" w:type="dxa"/>
              <w:end w:w="90" w:type="dxa"/>
            </w:tcMar>
          </w:tcPr>
          <w:p>
            <w:pPr>
              <w:spacing w:after="0"/>
            </w:pPr>
            <w:r>
              <w:rPr>
                <w:sz w:val="18"/>
              </w:rPr>
              <w:t>NET15.</w:t>
            </w:r>
          </w:p>
        </w:tc>
        <w:tc>
          <w:tcPr>
            <w:tcW w:type="dxa" w:w="4608"/>
            <w:vAlign w:val="top"/>
            <w:tcMar>
              <w:top w:w="70" w:type="dxa"/>
              <w:start w:w="90" w:type="dxa"/>
              <w:bottom w:w="70" w:type="dxa"/>
              <w:end w:w="90" w:type="dxa"/>
            </w:tcMar>
          </w:tcPr>
          <w:p>
            <w:pPr>
              <w:spacing w:after="0"/>
            </w:pPr>
            <w:r>
              <w:rPr>
                <w:sz w:val="18"/>
              </w:rPr>
              <w:t>May be represented in invoice/accounting configuration; does not execute payment.</w:t>
            </w:r>
          </w:p>
        </w:tc>
      </w:tr>
      <w:tr>
        <w:trPr>
          <w:cantSplit/>
        </w:trPr>
        <w:tc>
          <w:tcPr>
            <w:tcW w:type="dxa" w:w="3024"/>
            <w:vAlign w:val="top"/>
            <w:tcMar>
              <w:top w:w="70" w:type="dxa"/>
              <w:start w:w="90" w:type="dxa"/>
              <w:bottom w:w="70" w:type="dxa"/>
              <w:end w:w="90" w:type="dxa"/>
            </w:tcMar>
          </w:tcPr>
          <w:p>
            <w:pPr>
              <w:spacing w:after="0"/>
            </w:pPr>
            <w:r>
              <w:rPr>
                <w:sz w:val="18"/>
              </w:rPr>
              <w:t>Split settlement</w:t>
            </w:r>
          </w:p>
        </w:tc>
        <w:tc>
          <w:tcPr>
            <w:tcW w:type="dxa" w:w="4032"/>
            <w:vAlign w:val="top"/>
            <w:tcMar>
              <w:top w:w="70" w:type="dxa"/>
              <w:start w:w="90" w:type="dxa"/>
              <w:bottom w:w="70" w:type="dxa"/>
              <w:end w:w="90" w:type="dxa"/>
            </w:tcMar>
          </w:tcPr>
          <w:p>
            <w:pPr>
              <w:spacing w:after="0"/>
            </w:pPr>
            <w:r>
              <w:rPr>
                <w:sz w:val="18"/>
              </w:rPr>
              <w:t>Not part of the current model.</w:t>
            </w:r>
          </w:p>
        </w:tc>
        <w:tc>
          <w:tcPr>
            <w:tcW w:type="dxa" w:w="4608"/>
            <w:vAlign w:val="top"/>
            <w:tcMar>
              <w:top w:w="70" w:type="dxa"/>
              <w:start w:w="90" w:type="dxa"/>
              <w:bottom w:w="70" w:type="dxa"/>
              <w:end w:w="90" w:type="dxa"/>
            </w:tcMar>
          </w:tcPr>
          <w:p>
            <w:pPr>
              <w:spacing w:after="0"/>
            </w:pPr>
            <w:r>
              <w:rPr>
                <w:sz w:val="18"/>
              </w:rPr>
              <w:t>Do not implement automated split settlement.</w:t>
            </w:r>
          </w:p>
        </w:tc>
      </w:tr>
    </w:tbl>
    <w:p>
      <w:pPr>
        <w:spacing w:after="20"/>
      </w:pPr>
    </w:p>
    <w:p>
      <w:pPr>
        <w:pStyle w:val="Heading1"/>
      </w:pPr>
      <w:r>
        <w:t>19. Audit and Immutability Requirements</w:t>
      </w:r>
    </w:p>
    <w:p>
      <w:pPr>
        <w:pStyle w:val="ListBullet"/>
        <w:spacing w:after="40"/>
      </w:pPr>
      <w:r>
        <w:t>Every operational write should emit/reference existing Logs &amp; Audit evidence.</w:t>
      </w:r>
    </w:p>
    <w:p>
      <w:pPr>
        <w:pStyle w:val="ListBullet"/>
        <w:spacing w:after="40"/>
      </w:pPr>
      <w:r>
        <w:t>Invoice Lines preserve source and pricing evidence so the result can be reconstructed later.</w:t>
      </w:r>
    </w:p>
    <w:p>
      <w:pPr>
        <w:pStyle w:val="ListBullet"/>
        <w:spacing w:after="40"/>
      </w:pPr>
      <w:r>
        <w:t>Vendor reconciliation rows remain vendor-reported comparison evidence.</w:t>
      </w:r>
    </w:p>
    <w:p>
      <w:pPr>
        <w:pStyle w:val="ListBullet"/>
        <w:spacing w:after="40"/>
      </w:pPr>
      <w:r>
        <w:t>Issued/protected Invoice Lines are never silently edited.</w:t>
      </w:r>
    </w:p>
    <w:p>
      <w:pPr>
        <w:pStyle w:val="ListBullet"/>
        <w:spacing w:after="40"/>
      </w:pPr>
      <w:r>
        <w:t>Late corrections/refunds use Invoice Adjustments or supersession.</w:t>
      </w:r>
    </w:p>
    <w:p>
      <w:pPr>
        <w:pStyle w:val="ListBullet"/>
        <w:spacing w:after="40"/>
      </w:pPr>
      <w:r>
        <w:t>Reruns do not create duplicate financial postings.</w:t>
      </w:r>
    </w:p>
    <w:p>
      <w:pPr>
        <w:pStyle w:val="ListBullet"/>
        <w:spacing w:after="40"/>
      </w:pPr>
      <w:r>
        <w:t>QuickBooks transport/payment references do not rewrite CIXCI source truth.</w:t>
      </w:r>
    </w:p>
    <w:p>
      <w:pPr>
        <w:pStyle w:val="Heading1"/>
      </w:pPr>
      <w:r>
        <w:t>20. Developer Implementation Comparison Checklist</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8352"/>
            <w:shd w:fill="17365D"/>
            <w:vAlign w:val="center"/>
            <w:tcMar>
              <w:top w:w="70" w:type="dxa"/>
              <w:start w:w="90" w:type="dxa"/>
              <w:bottom w:w="70" w:type="dxa"/>
              <w:end w:w="90" w:type="dxa"/>
            </w:tcMar>
          </w:tcPr>
          <w:p>
            <w:pPr>
              <w:spacing w:after="0"/>
            </w:pPr>
            <w:r>
              <w:rPr>
                <w:b/>
                <w:color w:val="FFFFFF"/>
                <w:sz w:val="17"/>
              </w:rPr>
              <w:t>Implementation Check</w:t>
            </w:r>
          </w:p>
        </w:tc>
        <w:tc>
          <w:tcPr>
            <w:tcW w:type="dxa" w:w="2736"/>
            <w:shd w:fill="17365D"/>
            <w:vAlign w:val="center"/>
            <w:tcMar>
              <w:top w:w="70" w:type="dxa"/>
              <w:start w:w="90" w:type="dxa"/>
              <w:bottom w:w="70" w:type="dxa"/>
              <w:end w:w="90" w:type="dxa"/>
            </w:tcMar>
          </w:tcPr>
          <w:p>
            <w:pPr>
              <w:spacing w:after="0"/>
            </w:pPr>
            <w:r>
              <w:rPr>
                <w:b/>
                <w:color w:val="FFFFFF"/>
                <w:sz w:val="17"/>
              </w:rPr>
              <w:t>Developer Result</w:t>
            </w:r>
          </w:p>
        </w:tc>
      </w:tr>
      <w:tr>
        <w:trPr>
          <w:cantSplit/>
        </w:trPr>
        <w:tc>
          <w:tcPr>
            <w:tcW w:type="dxa" w:w="8352"/>
            <w:vAlign w:val="top"/>
            <w:tcMar>
              <w:top w:w="70" w:type="dxa"/>
              <w:start w:w="90" w:type="dxa"/>
              <w:bottom w:w="70" w:type="dxa"/>
              <w:end w:w="90" w:type="dxa"/>
            </w:tcMar>
          </w:tcPr>
          <w:p>
            <w:pPr>
              <w:spacing w:after="0"/>
            </w:pPr>
            <w:r>
              <w:rPr>
                <w:sz w:val="17"/>
              </w:rPr>
              <w:t>Invoice eligibility requires accepted Delivery Evidence, not merely shipment/tracking.</w:t>
            </w:r>
          </w:p>
        </w:tc>
        <w:tc>
          <w:tcPr>
            <w:tcW w:type="dxa" w:w="2736"/>
            <w:vAlign w:val="top"/>
            <w:tcMar>
              <w:top w:w="70" w:type="dxa"/>
              <w:start w:w="90" w:type="dxa"/>
              <w:bottom w:w="70" w:type="dxa"/>
              <w:end w:w="90" w:type="dxa"/>
            </w:tcMar>
          </w:tcPr>
          <w:p>
            <w:pPr>
              <w:spacing w:after="0"/>
            </w:pPr>
            <w:r>
              <w:rPr>
                <w:sz w:val="17"/>
              </w:rPr>
              <w:t>Yes / No / Needs Fix</w:t>
            </w:r>
          </w:p>
        </w:tc>
      </w:tr>
      <w:tr>
        <w:trPr>
          <w:cantSplit/>
        </w:trPr>
        <w:tc>
          <w:tcPr>
            <w:tcW w:type="dxa" w:w="8352"/>
            <w:vAlign w:val="top"/>
            <w:tcMar>
              <w:top w:w="70" w:type="dxa"/>
              <w:start w:w="90" w:type="dxa"/>
              <w:bottom w:w="70" w:type="dxa"/>
              <w:end w:w="90" w:type="dxa"/>
            </w:tcMar>
          </w:tcPr>
          <w:p>
            <w:pPr>
              <w:spacing w:after="0"/>
            </w:pPr>
            <w:r>
              <w:rPr>
                <w:sz w:val="17"/>
              </w:rPr>
              <w:t>Vendor-reported delivery cannot by itself trigger invoice eligibility.</w:t>
            </w:r>
          </w:p>
        </w:tc>
        <w:tc>
          <w:tcPr>
            <w:tcW w:type="dxa" w:w="2736"/>
            <w:vAlign w:val="top"/>
            <w:tcMar>
              <w:top w:w="70" w:type="dxa"/>
              <w:start w:w="90" w:type="dxa"/>
              <w:bottom w:w="70" w:type="dxa"/>
              <w:end w:w="90" w:type="dxa"/>
            </w:tcMar>
          </w:tcPr>
          <w:p>
            <w:pPr>
              <w:spacing w:after="0"/>
            </w:pPr>
            <w:r>
              <w:rPr>
                <w:sz w:val="17"/>
              </w:rPr>
              <w:t>Yes / No / Needs Fix</w:t>
            </w:r>
          </w:p>
        </w:tc>
      </w:tr>
      <w:tr>
        <w:trPr>
          <w:cantSplit/>
        </w:trPr>
        <w:tc>
          <w:tcPr>
            <w:tcW w:type="dxa" w:w="8352"/>
            <w:vAlign w:val="top"/>
            <w:tcMar>
              <w:top w:w="70" w:type="dxa"/>
              <w:start w:w="90" w:type="dxa"/>
              <w:bottom w:w="70" w:type="dxa"/>
              <w:end w:w="90" w:type="dxa"/>
            </w:tcMar>
          </w:tcPr>
          <w:p>
            <w:pPr>
              <w:spacing w:after="0"/>
            </w:pPr>
            <w:r>
              <w:rPr>
                <w:sz w:val="17"/>
              </w:rPr>
              <w:t>Invoice Management never recalculates Pricing-owned price/commission values.</w:t>
            </w:r>
          </w:p>
        </w:tc>
        <w:tc>
          <w:tcPr>
            <w:tcW w:type="dxa" w:w="2736"/>
            <w:vAlign w:val="top"/>
            <w:tcMar>
              <w:top w:w="70" w:type="dxa"/>
              <w:start w:w="90" w:type="dxa"/>
              <w:bottom w:w="70" w:type="dxa"/>
              <w:end w:w="90" w:type="dxa"/>
            </w:tcMar>
          </w:tcPr>
          <w:p>
            <w:pPr>
              <w:spacing w:after="0"/>
            </w:pPr>
            <w:r>
              <w:rPr>
                <w:sz w:val="17"/>
              </w:rPr>
              <w:t>Yes / No / Needs Fix</w:t>
            </w:r>
          </w:p>
        </w:tc>
      </w:tr>
      <w:tr>
        <w:trPr>
          <w:cantSplit/>
        </w:trPr>
        <w:tc>
          <w:tcPr>
            <w:tcW w:type="dxa" w:w="8352"/>
            <w:vAlign w:val="top"/>
            <w:tcMar>
              <w:top w:w="70" w:type="dxa"/>
              <w:start w:w="90" w:type="dxa"/>
              <w:bottom w:w="70" w:type="dxa"/>
              <w:end w:w="90" w:type="dxa"/>
            </w:tcMar>
          </w:tcPr>
          <w:p>
            <w:pPr>
              <w:spacing w:after="0"/>
            </w:pPr>
            <w:r>
              <w:rPr>
                <w:sz w:val="17"/>
              </w:rPr>
              <w:t>Invoice Lines store Pricing and Commission snapshot references/evidence.</w:t>
            </w:r>
          </w:p>
        </w:tc>
        <w:tc>
          <w:tcPr>
            <w:tcW w:type="dxa" w:w="2736"/>
            <w:vAlign w:val="top"/>
            <w:tcMar>
              <w:top w:w="70" w:type="dxa"/>
              <w:start w:w="90" w:type="dxa"/>
              <w:bottom w:w="70" w:type="dxa"/>
              <w:end w:w="90" w:type="dxa"/>
            </w:tcMar>
          </w:tcPr>
          <w:p>
            <w:pPr>
              <w:spacing w:after="0"/>
            </w:pPr>
            <w:r>
              <w:rPr>
                <w:sz w:val="17"/>
              </w:rPr>
              <w:t>Yes / No / Needs Fix</w:t>
            </w:r>
          </w:p>
        </w:tc>
      </w:tr>
      <w:tr>
        <w:trPr>
          <w:cantSplit/>
        </w:trPr>
        <w:tc>
          <w:tcPr>
            <w:tcW w:type="dxa" w:w="8352"/>
            <w:vAlign w:val="top"/>
            <w:tcMar>
              <w:top w:w="70" w:type="dxa"/>
              <w:start w:w="90" w:type="dxa"/>
              <w:bottom w:w="70" w:type="dxa"/>
              <w:end w:w="90" w:type="dxa"/>
            </w:tcMar>
          </w:tcPr>
          <w:p>
            <w:pPr>
              <w:spacing w:after="0"/>
            </w:pPr>
            <w:r>
              <w:rPr>
                <w:sz w:val="17"/>
              </w:rPr>
              <w:t>Invoice Line creation is idempotent by period + counterparty + source order line.</w:t>
            </w:r>
          </w:p>
        </w:tc>
        <w:tc>
          <w:tcPr>
            <w:tcW w:type="dxa" w:w="2736"/>
            <w:vAlign w:val="top"/>
            <w:tcMar>
              <w:top w:w="70" w:type="dxa"/>
              <w:start w:w="90" w:type="dxa"/>
              <w:bottom w:w="70" w:type="dxa"/>
              <w:end w:w="90" w:type="dxa"/>
            </w:tcMar>
          </w:tcPr>
          <w:p>
            <w:pPr>
              <w:spacing w:after="0"/>
            </w:pPr>
            <w:r>
              <w:rPr>
                <w:sz w:val="17"/>
              </w:rPr>
              <w:t>Yes / No / Needs Fix</w:t>
            </w:r>
          </w:p>
        </w:tc>
      </w:tr>
      <w:tr>
        <w:trPr>
          <w:cantSplit/>
        </w:trPr>
        <w:tc>
          <w:tcPr>
            <w:tcW w:type="dxa" w:w="8352"/>
            <w:vAlign w:val="top"/>
            <w:tcMar>
              <w:top w:w="70" w:type="dxa"/>
              <w:start w:w="90" w:type="dxa"/>
              <w:bottom w:w="70" w:type="dxa"/>
              <w:end w:w="90" w:type="dxa"/>
            </w:tcMar>
          </w:tcPr>
          <w:p>
            <w:pPr>
              <w:spacing w:after="0"/>
            </w:pPr>
            <w:r>
              <w:rPr>
                <w:sz w:val="17"/>
              </w:rPr>
              <w:t>Issued/protected Invoice Lines are immutable.</w:t>
            </w:r>
          </w:p>
        </w:tc>
        <w:tc>
          <w:tcPr>
            <w:tcW w:type="dxa" w:w="2736"/>
            <w:vAlign w:val="top"/>
            <w:tcMar>
              <w:top w:w="70" w:type="dxa"/>
              <w:start w:w="90" w:type="dxa"/>
              <w:bottom w:w="70" w:type="dxa"/>
              <w:end w:w="90" w:type="dxa"/>
            </w:tcMar>
          </w:tcPr>
          <w:p>
            <w:pPr>
              <w:spacing w:after="0"/>
            </w:pPr>
            <w:r>
              <w:rPr>
                <w:sz w:val="17"/>
              </w:rPr>
              <w:t>Yes / No / Needs Fix</w:t>
            </w:r>
          </w:p>
        </w:tc>
      </w:tr>
      <w:tr>
        <w:trPr>
          <w:cantSplit/>
        </w:trPr>
        <w:tc>
          <w:tcPr>
            <w:tcW w:type="dxa" w:w="8352"/>
            <w:vAlign w:val="top"/>
            <w:tcMar>
              <w:top w:w="70" w:type="dxa"/>
              <w:start w:w="90" w:type="dxa"/>
              <w:bottom w:w="70" w:type="dxa"/>
              <w:end w:w="90" w:type="dxa"/>
            </w:tcMar>
          </w:tcPr>
          <w:p>
            <w:pPr>
              <w:spacing w:after="0"/>
            </w:pPr>
            <w:r>
              <w:rPr>
                <w:sz w:val="17"/>
              </w:rPr>
              <w:t>Late refunds create later-period Invoice Adjustments linked to the original line.</w:t>
            </w:r>
          </w:p>
        </w:tc>
        <w:tc>
          <w:tcPr>
            <w:tcW w:type="dxa" w:w="2736"/>
            <w:vAlign w:val="top"/>
            <w:tcMar>
              <w:top w:w="70" w:type="dxa"/>
              <w:start w:w="90" w:type="dxa"/>
              <w:bottom w:w="70" w:type="dxa"/>
              <w:end w:w="90" w:type="dxa"/>
            </w:tcMar>
          </w:tcPr>
          <w:p>
            <w:pPr>
              <w:spacing w:after="0"/>
            </w:pPr>
            <w:r>
              <w:rPr>
                <w:sz w:val="17"/>
              </w:rPr>
              <w:t>Yes / No / Needs Fix</w:t>
            </w:r>
          </w:p>
        </w:tc>
      </w:tr>
      <w:tr>
        <w:trPr>
          <w:cantSplit/>
        </w:trPr>
        <w:tc>
          <w:tcPr>
            <w:tcW w:type="dxa" w:w="8352"/>
            <w:vAlign w:val="top"/>
            <w:tcMar>
              <w:top w:w="70" w:type="dxa"/>
              <w:start w:w="90" w:type="dxa"/>
              <w:bottom w:w="70" w:type="dxa"/>
              <w:end w:w="90" w:type="dxa"/>
            </w:tcMar>
          </w:tcPr>
          <w:p>
            <w:pPr>
              <w:spacing w:after="0"/>
            </w:pPr>
            <w:r>
              <w:rPr>
                <w:sz w:val="17"/>
              </w:rPr>
              <w:t>Refund reduction requires source refund evidence AND Pricing adjustment evidence.</w:t>
            </w:r>
          </w:p>
        </w:tc>
        <w:tc>
          <w:tcPr>
            <w:tcW w:type="dxa" w:w="2736"/>
            <w:vAlign w:val="top"/>
            <w:tcMar>
              <w:top w:w="70" w:type="dxa"/>
              <w:start w:w="90" w:type="dxa"/>
              <w:bottom w:w="70" w:type="dxa"/>
              <w:end w:w="90" w:type="dxa"/>
            </w:tcMar>
          </w:tcPr>
          <w:p>
            <w:pPr>
              <w:spacing w:after="0"/>
            </w:pPr>
            <w:r>
              <w:rPr>
                <w:sz w:val="17"/>
              </w:rPr>
              <w:t>Yes / No / Needs Fix</w:t>
            </w:r>
          </w:p>
        </w:tc>
      </w:tr>
      <w:tr>
        <w:trPr>
          <w:cantSplit/>
        </w:trPr>
        <w:tc>
          <w:tcPr>
            <w:tcW w:type="dxa" w:w="8352"/>
            <w:vAlign w:val="top"/>
            <w:tcMar>
              <w:top w:w="70" w:type="dxa"/>
              <w:start w:w="90" w:type="dxa"/>
              <w:bottom w:w="70" w:type="dxa"/>
              <w:end w:w="90" w:type="dxa"/>
            </w:tcMar>
          </w:tcPr>
          <w:p>
            <w:pPr>
              <w:spacing w:after="0"/>
            </w:pPr>
            <w:r>
              <w:rPr>
                <w:sz w:val="17"/>
              </w:rPr>
              <w:t>Return rejected / returned-not-refunded does not reduce invoice by default.</w:t>
            </w:r>
          </w:p>
        </w:tc>
        <w:tc>
          <w:tcPr>
            <w:tcW w:type="dxa" w:w="2736"/>
            <w:vAlign w:val="top"/>
            <w:tcMar>
              <w:top w:w="70" w:type="dxa"/>
              <w:start w:w="90" w:type="dxa"/>
              <w:bottom w:w="70" w:type="dxa"/>
              <w:end w:w="90" w:type="dxa"/>
            </w:tcMar>
          </w:tcPr>
          <w:p>
            <w:pPr>
              <w:spacing w:after="0"/>
            </w:pPr>
            <w:r>
              <w:rPr>
                <w:sz w:val="17"/>
              </w:rPr>
              <w:t>Yes / No / Needs Fix</w:t>
            </w:r>
          </w:p>
        </w:tc>
      </w:tr>
      <w:tr>
        <w:trPr>
          <w:cantSplit/>
        </w:trPr>
        <w:tc>
          <w:tcPr>
            <w:tcW w:type="dxa" w:w="8352"/>
            <w:vAlign w:val="top"/>
            <w:tcMar>
              <w:top w:w="70" w:type="dxa"/>
              <w:start w:w="90" w:type="dxa"/>
              <w:bottom w:w="70" w:type="dxa"/>
              <w:end w:w="90" w:type="dxa"/>
            </w:tcMar>
          </w:tcPr>
          <w:p>
            <w:pPr>
              <w:spacing w:after="0"/>
            </w:pPr>
            <w:r>
              <w:rPr>
                <w:sz w:val="17"/>
              </w:rPr>
              <w:t>Split/multi-vendor orders are handled at line/suborder/vendor scope.</w:t>
            </w:r>
          </w:p>
        </w:tc>
        <w:tc>
          <w:tcPr>
            <w:tcW w:type="dxa" w:w="2736"/>
            <w:vAlign w:val="top"/>
            <w:tcMar>
              <w:top w:w="70" w:type="dxa"/>
              <w:start w:w="90" w:type="dxa"/>
              <w:bottom w:w="70" w:type="dxa"/>
              <w:end w:w="90" w:type="dxa"/>
            </w:tcMar>
          </w:tcPr>
          <w:p>
            <w:pPr>
              <w:spacing w:after="0"/>
            </w:pPr>
            <w:r>
              <w:rPr>
                <w:sz w:val="17"/>
              </w:rPr>
              <w:t>Yes / No / Needs Fix</w:t>
            </w:r>
          </w:p>
        </w:tc>
      </w:tr>
      <w:tr>
        <w:trPr>
          <w:cantSplit/>
        </w:trPr>
        <w:tc>
          <w:tcPr>
            <w:tcW w:type="dxa" w:w="8352"/>
            <w:vAlign w:val="top"/>
            <w:tcMar>
              <w:top w:w="70" w:type="dxa"/>
              <w:start w:w="90" w:type="dxa"/>
              <w:bottom w:w="70" w:type="dxa"/>
              <w:end w:w="90" w:type="dxa"/>
            </w:tcMar>
          </w:tcPr>
          <w:p>
            <w:pPr>
              <w:spacing w:after="0"/>
            </w:pPr>
            <w:r>
              <w:rPr>
                <w:sz w:val="17"/>
              </w:rPr>
              <w:t>Vendor reconciliation uploads are comparison evidence only.</w:t>
            </w:r>
          </w:p>
        </w:tc>
        <w:tc>
          <w:tcPr>
            <w:tcW w:type="dxa" w:w="2736"/>
            <w:vAlign w:val="top"/>
            <w:tcMar>
              <w:top w:w="70" w:type="dxa"/>
              <w:start w:w="90" w:type="dxa"/>
              <w:bottom w:w="70" w:type="dxa"/>
              <w:end w:w="90" w:type="dxa"/>
            </w:tcMar>
          </w:tcPr>
          <w:p>
            <w:pPr>
              <w:spacing w:after="0"/>
            </w:pPr>
            <w:r>
              <w:rPr>
                <w:sz w:val="17"/>
              </w:rPr>
              <w:t>Yes / No / Needs Fix</w:t>
            </w:r>
          </w:p>
        </w:tc>
      </w:tr>
      <w:tr>
        <w:trPr>
          <w:cantSplit/>
        </w:trPr>
        <w:tc>
          <w:tcPr>
            <w:tcW w:type="dxa" w:w="8352"/>
            <w:vAlign w:val="top"/>
            <w:tcMar>
              <w:top w:w="70" w:type="dxa"/>
              <w:start w:w="90" w:type="dxa"/>
              <w:bottom w:w="70" w:type="dxa"/>
              <w:end w:w="90" w:type="dxa"/>
            </w:tcMar>
          </w:tcPr>
          <w:p>
            <w:pPr>
              <w:spacing w:after="0"/>
            </w:pPr>
            <w:r>
              <w:rPr>
                <w:sz w:val="17"/>
              </w:rPr>
              <w:t>Vendor reconciliation rows cannot mutate Order/Fulfillment/Returns/Pricing truth.</w:t>
            </w:r>
          </w:p>
        </w:tc>
        <w:tc>
          <w:tcPr>
            <w:tcW w:type="dxa" w:w="2736"/>
            <w:vAlign w:val="top"/>
            <w:tcMar>
              <w:top w:w="70" w:type="dxa"/>
              <w:start w:w="90" w:type="dxa"/>
              <w:bottom w:w="70" w:type="dxa"/>
              <w:end w:w="90" w:type="dxa"/>
            </w:tcMar>
          </w:tcPr>
          <w:p>
            <w:pPr>
              <w:spacing w:after="0"/>
            </w:pPr>
            <w:r>
              <w:rPr>
                <w:sz w:val="17"/>
              </w:rPr>
              <w:t>Yes / No / Needs Fix</w:t>
            </w:r>
          </w:p>
        </w:tc>
      </w:tr>
      <w:tr>
        <w:trPr>
          <w:cantSplit/>
        </w:trPr>
        <w:tc>
          <w:tcPr>
            <w:tcW w:type="dxa" w:w="8352"/>
            <w:vAlign w:val="top"/>
            <w:tcMar>
              <w:top w:w="70" w:type="dxa"/>
              <w:start w:w="90" w:type="dxa"/>
              <w:bottom w:w="70" w:type="dxa"/>
              <w:end w:w="90" w:type="dxa"/>
            </w:tcMar>
          </w:tcPr>
          <w:p>
            <w:pPr>
              <w:spacing w:after="0"/>
            </w:pPr>
            <w:r>
              <w:rPr>
                <w:sz w:val="17"/>
              </w:rPr>
              <w:t>All locked Invoice Run, Invoice, reconciliation job, and match-result statuses exist.</w:t>
            </w:r>
          </w:p>
        </w:tc>
        <w:tc>
          <w:tcPr>
            <w:tcW w:type="dxa" w:w="2736"/>
            <w:vAlign w:val="top"/>
            <w:tcMar>
              <w:top w:w="70" w:type="dxa"/>
              <w:start w:w="90" w:type="dxa"/>
              <w:bottom w:w="70" w:type="dxa"/>
              <w:end w:w="90" w:type="dxa"/>
            </w:tcMar>
          </w:tcPr>
          <w:p>
            <w:pPr>
              <w:spacing w:after="0"/>
            </w:pPr>
            <w:r>
              <w:rPr>
                <w:sz w:val="17"/>
              </w:rPr>
              <w:t>Yes / No / Needs Fix</w:t>
            </w:r>
          </w:p>
        </w:tc>
      </w:tr>
      <w:tr>
        <w:trPr>
          <w:cantSplit/>
        </w:trPr>
        <w:tc>
          <w:tcPr>
            <w:tcW w:type="dxa" w:w="8352"/>
            <w:vAlign w:val="top"/>
            <w:tcMar>
              <w:top w:w="70" w:type="dxa"/>
              <w:start w:w="90" w:type="dxa"/>
              <w:bottom w:w="70" w:type="dxa"/>
              <w:end w:w="90" w:type="dxa"/>
            </w:tcMar>
          </w:tcPr>
          <w:p>
            <w:pPr>
              <w:spacing w:after="0"/>
            </w:pPr>
            <w:r>
              <w:rPr>
                <w:sz w:val="17"/>
              </w:rPr>
              <w:t>Blocking Invoice Exceptions prevent approval/readiness.</w:t>
            </w:r>
          </w:p>
        </w:tc>
        <w:tc>
          <w:tcPr>
            <w:tcW w:type="dxa" w:w="2736"/>
            <w:vAlign w:val="top"/>
            <w:tcMar>
              <w:top w:w="70" w:type="dxa"/>
              <w:start w:w="90" w:type="dxa"/>
              <w:bottom w:w="70" w:type="dxa"/>
              <w:end w:w="90" w:type="dxa"/>
            </w:tcMar>
          </w:tcPr>
          <w:p>
            <w:pPr>
              <w:spacing w:after="0"/>
            </w:pPr>
            <w:r>
              <w:rPr>
                <w:sz w:val="17"/>
              </w:rPr>
              <w:t>Yes / No / Needs Fix</w:t>
            </w:r>
          </w:p>
        </w:tc>
      </w:tr>
      <w:tr>
        <w:trPr>
          <w:cantSplit/>
        </w:trPr>
        <w:tc>
          <w:tcPr>
            <w:tcW w:type="dxa" w:w="8352"/>
            <w:vAlign w:val="top"/>
            <w:tcMar>
              <w:top w:w="70" w:type="dxa"/>
              <w:start w:w="90" w:type="dxa"/>
              <w:bottom w:w="70" w:type="dxa"/>
              <w:end w:w="90" w:type="dxa"/>
            </w:tcMar>
          </w:tcPr>
          <w:p>
            <w:pPr>
              <w:spacing w:after="0"/>
            </w:pPr>
            <w:r>
              <w:rPr>
                <w:sz w:val="17"/>
              </w:rPr>
              <w:t>Buyer and Vendor cannot approve invoices.</w:t>
            </w:r>
          </w:p>
        </w:tc>
        <w:tc>
          <w:tcPr>
            <w:tcW w:type="dxa" w:w="2736"/>
            <w:vAlign w:val="top"/>
            <w:tcMar>
              <w:top w:w="70" w:type="dxa"/>
              <w:start w:w="90" w:type="dxa"/>
              <w:bottom w:w="70" w:type="dxa"/>
              <w:end w:w="90" w:type="dxa"/>
            </w:tcMar>
          </w:tcPr>
          <w:p>
            <w:pPr>
              <w:spacing w:after="0"/>
            </w:pPr>
            <w:r>
              <w:rPr>
                <w:sz w:val="17"/>
              </w:rPr>
              <w:t>Yes / No / Needs Fix</w:t>
            </w:r>
          </w:p>
        </w:tc>
      </w:tr>
      <w:tr>
        <w:trPr>
          <w:cantSplit/>
        </w:trPr>
        <w:tc>
          <w:tcPr>
            <w:tcW w:type="dxa" w:w="8352"/>
            <w:vAlign w:val="top"/>
            <w:tcMar>
              <w:top w:w="70" w:type="dxa"/>
              <w:start w:w="90" w:type="dxa"/>
              <w:bottom w:w="70" w:type="dxa"/>
              <w:end w:w="90" w:type="dxa"/>
            </w:tcMar>
          </w:tcPr>
          <w:p>
            <w:pPr>
              <w:spacing w:after="0"/>
            </w:pPr>
            <w:r>
              <w:rPr>
                <w:sz w:val="17"/>
              </w:rPr>
              <w:t>CIXCI Admin approval authority routes through check_access.</w:t>
            </w:r>
          </w:p>
        </w:tc>
        <w:tc>
          <w:tcPr>
            <w:tcW w:type="dxa" w:w="2736"/>
            <w:vAlign w:val="top"/>
            <w:tcMar>
              <w:top w:w="70" w:type="dxa"/>
              <w:start w:w="90" w:type="dxa"/>
              <w:bottom w:w="70" w:type="dxa"/>
              <w:end w:w="90" w:type="dxa"/>
            </w:tcMar>
          </w:tcPr>
          <w:p>
            <w:pPr>
              <w:spacing w:after="0"/>
            </w:pPr>
            <w:r>
              <w:rPr>
                <w:sz w:val="17"/>
              </w:rPr>
              <w:t>Yes / No / Needs Fix</w:t>
            </w:r>
          </w:p>
        </w:tc>
      </w:tr>
      <w:tr>
        <w:trPr>
          <w:cantSplit/>
        </w:trPr>
        <w:tc>
          <w:tcPr>
            <w:tcW w:type="dxa" w:w="8352"/>
            <w:vAlign w:val="top"/>
            <w:tcMar>
              <w:top w:w="70" w:type="dxa"/>
              <w:start w:w="90" w:type="dxa"/>
              <w:bottom w:w="70" w:type="dxa"/>
              <w:end w:w="90" w:type="dxa"/>
            </w:tcMar>
          </w:tcPr>
          <w:p>
            <w:pPr>
              <w:spacing w:after="0"/>
            </w:pPr>
            <w:r>
              <w:rPr>
                <w:sz w:val="17"/>
              </w:rPr>
              <w:t>Invoice Management creates a QuickBooks handoff request/reference rather than calling QuickBooks directly.</w:t>
            </w:r>
          </w:p>
        </w:tc>
        <w:tc>
          <w:tcPr>
            <w:tcW w:type="dxa" w:w="2736"/>
            <w:vAlign w:val="top"/>
            <w:tcMar>
              <w:top w:w="70" w:type="dxa"/>
              <w:start w:w="90" w:type="dxa"/>
              <w:bottom w:w="70" w:type="dxa"/>
              <w:end w:w="90" w:type="dxa"/>
            </w:tcMar>
          </w:tcPr>
          <w:p>
            <w:pPr>
              <w:spacing w:after="0"/>
            </w:pPr>
            <w:r>
              <w:rPr>
                <w:sz w:val="17"/>
              </w:rPr>
              <w:t>Yes / No / Needs Fix</w:t>
            </w:r>
          </w:p>
        </w:tc>
      </w:tr>
      <w:tr>
        <w:trPr>
          <w:cantSplit/>
        </w:trPr>
        <w:tc>
          <w:tcPr>
            <w:tcW w:type="dxa" w:w="8352"/>
            <w:vAlign w:val="top"/>
            <w:tcMar>
              <w:top w:w="70" w:type="dxa"/>
              <w:start w:w="90" w:type="dxa"/>
              <w:bottom w:w="70" w:type="dxa"/>
              <w:end w:w="90" w:type="dxa"/>
            </w:tcMar>
          </w:tcPr>
          <w:p>
            <w:pPr>
              <w:spacing w:after="0"/>
            </w:pPr>
            <w:r>
              <w:rPr>
                <w:sz w:val="17"/>
              </w:rPr>
              <w:t>No automatic Vendor payment is executed.</w:t>
            </w:r>
          </w:p>
        </w:tc>
        <w:tc>
          <w:tcPr>
            <w:tcW w:type="dxa" w:w="2736"/>
            <w:vAlign w:val="top"/>
            <w:tcMar>
              <w:top w:w="70" w:type="dxa"/>
              <w:start w:w="90" w:type="dxa"/>
              <w:bottom w:w="70" w:type="dxa"/>
              <w:end w:w="90" w:type="dxa"/>
            </w:tcMar>
          </w:tcPr>
          <w:p>
            <w:pPr>
              <w:spacing w:after="0"/>
            </w:pPr>
            <w:r>
              <w:rPr>
                <w:sz w:val="17"/>
              </w:rPr>
              <w:t>Yes / No / Needs Fix</w:t>
            </w:r>
          </w:p>
        </w:tc>
      </w:tr>
      <w:tr>
        <w:trPr>
          <w:cantSplit/>
        </w:trPr>
        <w:tc>
          <w:tcPr>
            <w:tcW w:type="dxa" w:w="8352"/>
            <w:vAlign w:val="top"/>
            <w:tcMar>
              <w:top w:w="70" w:type="dxa"/>
              <w:start w:w="90" w:type="dxa"/>
              <w:bottom w:w="70" w:type="dxa"/>
              <w:end w:w="90" w:type="dxa"/>
            </w:tcMar>
          </w:tcPr>
          <w:p>
            <w:pPr>
              <w:spacing w:after="0"/>
            </w:pPr>
            <w:r>
              <w:rPr>
                <w:sz w:val="17"/>
              </w:rPr>
              <w:t>paid / partially_paid / credited are not internal Invoice statuses.</w:t>
            </w:r>
          </w:p>
        </w:tc>
        <w:tc>
          <w:tcPr>
            <w:tcW w:type="dxa" w:w="2736"/>
            <w:vAlign w:val="top"/>
            <w:tcMar>
              <w:top w:w="70" w:type="dxa"/>
              <w:start w:w="90" w:type="dxa"/>
              <w:bottom w:w="70" w:type="dxa"/>
              <w:end w:w="90" w:type="dxa"/>
            </w:tcMar>
          </w:tcPr>
          <w:p>
            <w:pPr>
              <w:spacing w:after="0"/>
            </w:pPr>
            <w:r>
              <w:rPr>
                <w:sz w:val="17"/>
              </w:rPr>
              <w:t>Yes / No / Needs Fix</w:t>
            </w:r>
          </w:p>
        </w:tc>
      </w:tr>
      <w:tr>
        <w:trPr>
          <w:cantSplit/>
        </w:trPr>
        <w:tc>
          <w:tcPr>
            <w:tcW w:type="dxa" w:w="8352"/>
            <w:vAlign w:val="top"/>
            <w:tcMar>
              <w:top w:w="70" w:type="dxa"/>
              <w:start w:w="90" w:type="dxa"/>
              <w:bottom w:w="70" w:type="dxa"/>
              <w:end w:w="90" w:type="dxa"/>
            </w:tcMar>
          </w:tcPr>
          <w:p>
            <w:pPr>
              <w:spacing w:after="0"/>
            </w:pPr>
            <w:r>
              <w:rPr>
                <w:sz w:val="17"/>
              </w:rPr>
              <w:t>QuickBooks sync failure does not mutate source order/delivery/pricing truth.</w:t>
            </w:r>
          </w:p>
        </w:tc>
        <w:tc>
          <w:tcPr>
            <w:tcW w:type="dxa" w:w="2736"/>
            <w:vAlign w:val="top"/>
            <w:tcMar>
              <w:top w:w="70" w:type="dxa"/>
              <w:start w:w="90" w:type="dxa"/>
              <w:bottom w:w="70" w:type="dxa"/>
              <w:end w:w="90" w:type="dxa"/>
            </w:tcMar>
          </w:tcPr>
          <w:p>
            <w:pPr>
              <w:spacing w:after="0"/>
            </w:pPr>
            <w:r>
              <w:rPr>
                <w:sz w:val="17"/>
              </w:rPr>
              <w:t>Yes / No / Needs Fix</w:t>
            </w:r>
          </w:p>
        </w:tc>
      </w:tr>
      <w:tr>
        <w:trPr>
          <w:cantSplit/>
        </w:trPr>
        <w:tc>
          <w:tcPr>
            <w:tcW w:type="dxa" w:w="8352"/>
            <w:vAlign w:val="top"/>
            <w:tcMar>
              <w:top w:w="70" w:type="dxa"/>
              <w:start w:w="90" w:type="dxa"/>
              <w:bottom w:w="70" w:type="dxa"/>
              <w:end w:w="90" w:type="dxa"/>
            </w:tcMar>
          </w:tcPr>
          <w:p>
            <w:pPr>
              <w:spacing w:after="0"/>
            </w:pPr>
            <w:r>
              <w:rPr>
                <w:sz w:val="17"/>
              </w:rPr>
              <w:t>Operational writes are audit/evidence-backed.</w:t>
            </w:r>
          </w:p>
        </w:tc>
        <w:tc>
          <w:tcPr>
            <w:tcW w:type="dxa" w:w="2736"/>
            <w:vAlign w:val="top"/>
            <w:tcMar>
              <w:top w:w="70" w:type="dxa"/>
              <w:start w:w="90" w:type="dxa"/>
              <w:bottom w:w="70" w:type="dxa"/>
              <w:end w:w="90" w:type="dxa"/>
            </w:tcMar>
          </w:tcPr>
          <w:p>
            <w:pPr>
              <w:spacing w:after="0"/>
            </w:pPr>
            <w:r>
              <w:rPr>
                <w:sz w:val="17"/>
              </w:rPr>
              <w:t>Yes / No / Needs Fix</w:t>
            </w:r>
          </w:p>
        </w:tc>
      </w:tr>
    </w:tbl>
    <w:p>
      <w:pPr>
        <w:spacing w:after="20"/>
      </w:pPr>
    </w:p>
    <w:p>
      <w:pPr>
        <w:pStyle w:val="Heading1"/>
      </w:pPr>
      <w:r>
        <w:t>21. Current Deferred / Do-Not-Implement Areas</w:t>
      </w:r>
    </w:p>
    <w:p>
      <w:pPr>
        <w:pStyle w:val="ListBullet"/>
        <w:spacing w:after="40"/>
      </w:pPr>
      <w:r>
        <w:t>Tax calculation inside CIXCI Invoice Management.</w:t>
      </w:r>
    </w:p>
    <w:p>
      <w:pPr>
        <w:pStyle w:val="ListBullet"/>
        <w:spacing w:after="40"/>
      </w:pPr>
      <w:r>
        <w:t>Payment processing or automatic Vendor payment execution.</w:t>
      </w:r>
    </w:p>
    <w:p>
      <w:pPr>
        <w:pStyle w:val="ListBullet"/>
        <w:spacing w:after="40"/>
      </w:pPr>
      <w:r>
        <w:t>Settlement/payout automation or automatic split settlement.</w:t>
      </w:r>
    </w:p>
    <w:p>
      <w:pPr>
        <w:pStyle w:val="ListBullet"/>
        <w:spacing w:after="40"/>
      </w:pPr>
      <w:r>
        <w:t>Deep 3-way / 4-way reconciliation beyond the defined comparison model.</w:t>
      </w:r>
    </w:p>
    <w:p>
      <w:pPr>
        <w:pStyle w:val="ListBullet"/>
        <w:spacing w:after="40"/>
      </w:pPr>
      <w:r>
        <w:t>Direct QuickBooks provider transport from Invoice Management.</w:t>
      </w:r>
    </w:p>
    <w:p>
      <w:pPr>
        <w:pStyle w:val="ListBullet"/>
        <w:spacing w:after="40"/>
      </w:pPr>
      <w:r>
        <w:t>Hard-coded commission or pricing formulas in Invoice Management.</w:t>
      </w:r>
    </w:p>
    <w:p>
      <w:pPr>
        <w:pStyle w:val="ListBullet"/>
        <w:spacing w:after="40"/>
      </w:pPr>
      <w:r>
        <w:t>A new paid Invoice status.</w:t>
      </w:r>
    </w:p>
    <w:p>
      <w:pPr>
        <w:pStyle w:val="ListBullet"/>
        <w:spacing w:after="40"/>
      </w:pPr>
      <w:r>
        <w:t>A separate permission engine instead of Tenant Company check_access.</w:t>
      </w:r>
    </w:p>
    <w:p>
      <w:pPr>
        <w:pStyle w:val="Heading1"/>
      </w:pPr>
      <w:r>
        <w:t>22. Current Dependency Note</w:t>
      </w:r>
    </w:p>
    <w:tbl>
      <w:tblPr>
        <w:tblStyle w:val="TableGrid"/>
        <w:tblW w:type="auto" w:w="0"/>
        <w:tblLook w:firstColumn="1" w:firstRow="1" w:lastColumn="0" w:lastRow="0" w:noHBand="0" w:noVBand="1" w:val="04A0"/>
      </w:tblPr>
      <w:tblGrid>
        <w:gridCol w:w="10224"/>
      </w:tblGrid>
      <w:tr>
        <w:trPr>
          <w:cantSplit/>
        </w:trPr>
        <w:tc>
          <w:tcPr>
            <w:tcW w:type="dxa" w:w="10224"/>
            <w:shd w:fill="FFF2CC"/>
            <w:tcMar>
              <w:top w:w="100" w:type="dxa"/>
              <w:start w:w="110" w:type="dxa"/>
              <w:bottom w:w="100" w:type="dxa"/>
              <w:end w:w="110" w:type="dxa"/>
            </w:tcMar>
          </w:tcPr>
          <w:p>
            <w:pPr>
              <w:spacing w:after="0"/>
            </w:pPr>
            <w:r>
              <w:rPr>
                <w:b/>
                <w:color w:val="17365D"/>
                <w:sz w:val="21"/>
              </w:rPr>
              <w:t>Integration Management</w:t>
              <w:br/>
            </w:r>
            <w:r>
              <w:rPr>
                <w:sz w:val="20"/>
              </w:rPr>
              <w:t>Integration Management is intentionally being implemented later. The Invoice module should therefore be complete through approval, payable-readiness, and creation of the QuickBooks handoff request/reference. Actual QuickBooks transmission, provider retry, and external sync handling should connect through Integration Management later rather than being built directly into Invoice Management.</w:t>
            </w:r>
          </w:p>
        </w:tc>
      </w:tr>
    </w:tbl>
    <w:p>
      <w:pPr>
        <w:spacing w:after="20"/>
      </w:pPr>
    </w:p>
    <w:p>
      <w:pPr>
        <w:pStyle w:val="Heading1"/>
      </w:pPr>
      <w:r>
        <w:t>23. Final Simplified Flow for Developer Review</w:t>
      </w:r>
    </w:p>
    <w:p>
      <w:pPr>
        <w:spacing w:after="20" w:before="0"/>
        <w:jc w:val="center"/>
      </w:pPr>
      <w:r>
        <w:rPr>
          <w:b/>
          <w:color w:val="1F4E78"/>
          <w:sz w:val="19"/>
        </w:rPr>
        <w:t>CIXCI Admin creates monthly Invoice Run</w:t>
      </w:r>
    </w:p>
    <w:p>
      <w:pPr>
        <w:spacing w:after="20" w:before="0"/>
        <w:jc w:val="center"/>
      </w:pPr>
      <w:r>
        <w:rPr>
          <w:b/>
          <w:color w:val="1F4E78"/>
          <w:sz w:val="19"/>
        </w:rPr>
        <w:t>↓</w:t>
      </w:r>
    </w:p>
    <w:p>
      <w:pPr>
        <w:spacing w:after="20" w:before="0"/>
        <w:jc w:val="center"/>
      </w:pPr>
      <w:r>
        <w:rPr>
          <w:b/>
          <w:color w:val="1F4E78"/>
          <w:sz w:val="19"/>
        </w:rPr>
        <w:t>Collect Order / Delivery / Refund / Pricing evidence</w:t>
      </w:r>
    </w:p>
    <w:p>
      <w:pPr>
        <w:spacing w:after="20" w:before="0"/>
        <w:jc w:val="center"/>
      </w:pPr>
      <w:r>
        <w:rPr>
          <w:b/>
          <w:color w:val="1F4E78"/>
          <w:sz w:val="19"/>
        </w:rPr>
        <w:t>↓</w:t>
      </w:r>
    </w:p>
    <w:p>
      <w:pPr>
        <w:spacing w:after="20" w:before="0"/>
        <w:jc w:val="center"/>
      </w:pPr>
      <w:r>
        <w:rPr>
          <w:b/>
          <w:color w:val="1F4E78"/>
          <w:sz w:val="19"/>
        </w:rPr>
        <w:t>Validate line-level eligibility</w:t>
      </w:r>
    </w:p>
    <w:p>
      <w:pPr>
        <w:spacing w:after="20" w:before="0"/>
        <w:jc w:val="center"/>
      </w:pPr>
      <w:r>
        <w:rPr>
          <w:b/>
          <w:color w:val="1F4E78"/>
          <w:sz w:val="19"/>
        </w:rPr>
        <w:t>↓</w:t>
      </w:r>
    </w:p>
    <w:p>
      <w:pPr>
        <w:spacing w:after="20" w:before="0"/>
        <w:jc w:val="center"/>
      </w:pPr>
      <w:r>
        <w:rPr>
          <w:b/>
          <w:color w:val="1F4E78"/>
          <w:sz w:val="19"/>
        </w:rPr>
        <w:t>Create immutable Invoice Lines</w:t>
      </w:r>
    </w:p>
    <w:p>
      <w:pPr>
        <w:spacing w:after="20" w:before="0"/>
        <w:jc w:val="center"/>
      </w:pPr>
      <w:r>
        <w:rPr>
          <w:b/>
          <w:color w:val="1F4E78"/>
          <w:sz w:val="19"/>
        </w:rPr>
        <w:t>↓</w:t>
      </w:r>
    </w:p>
    <w:p>
      <w:pPr>
        <w:spacing w:after="20" w:before="0"/>
        <w:jc w:val="center"/>
      </w:pPr>
      <w:r>
        <w:rPr>
          <w:b/>
          <w:color w:val="1F4E78"/>
          <w:sz w:val="19"/>
        </w:rPr>
        <w:t>Create current-period or later-period Invoice Adjustments for qualifying refunds</w:t>
      </w:r>
    </w:p>
    <w:p>
      <w:pPr>
        <w:spacing w:after="20" w:before="0"/>
        <w:jc w:val="center"/>
      </w:pPr>
      <w:r>
        <w:rPr>
          <w:b/>
          <w:color w:val="1F4E78"/>
          <w:sz w:val="19"/>
        </w:rPr>
        <w:t>↓</w:t>
      </w:r>
    </w:p>
    <w:p>
      <w:pPr>
        <w:spacing w:after="20" w:before="0"/>
        <w:jc w:val="center"/>
      </w:pPr>
      <w:r>
        <w:rPr>
          <w:b/>
          <w:color w:val="1F4E78"/>
          <w:sz w:val="19"/>
        </w:rPr>
        <w:t>Compare Vendor reconciliation file against CIXCI source evidence</w:t>
      </w:r>
    </w:p>
    <w:p>
      <w:pPr>
        <w:spacing w:after="20" w:before="0"/>
        <w:jc w:val="center"/>
      </w:pPr>
      <w:r>
        <w:rPr>
          <w:b/>
          <w:color w:val="1F4E78"/>
          <w:sz w:val="19"/>
        </w:rPr>
        <w:t>↓</w:t>
      </w:r>
    </w:p>
    <w:p>
      <w:pPr>
        <w:spacing w:after="20" w:before="0"/>
        <w:jc w:val="center"/>
      </w:pPr>
      <w:r>
        <w:rPr>
          <w:b/>
          <w:color w:val="1F4E78"/>
          <w:sz w:val="19"/>
        </w:rPr>
        <w:t>Create Match Results and Invoice Exceptions</w:t>
      </w:r>
    </w:p>
    <w:p>
      <w:pPr>
        <w:spacing w:after="20" w:before="0"/>
        <w:jc w:val="center"/>
      </w:pPr>
      <w:r>
        <w:rPr>
          <w:b/>
          <w:color w:val="1F4E78"/>
          <w:sz w:val="19"/>
        </w:rPr>
        <w:t>↓</w:t>
      </w:r>
    </w:p>
    <w:p>
      <w:pPr>
        <w:spacing w:after="20" w:before="0"/>
        <w:jc w:val="center"/>
      </w:pPr>
      <w:r>
        <w:rPr>
          <w:b/>
          <w:color w:val="1F4E78"/>
          <w:sz w:val="19"/>
        </w:rPr>
        <w:t>Generate Invoice Report / Invoice</w:t>
      </w:r>
    </w:p>
    <w:p>
      <w:pPr>
        <w:spacing w:after="20" w:before="0"/>
        <w:jc w:val="center"/>
      </w:pPr>
      <w:r>
        <w:rPr>
          <w:b/>
          <w:color w:val="1F4E78"/>
          <w:sz w:val="19"/>
        </w:rPr>
        <w:t>↓</w:t>
      </w:r>
    </w:p>
    <w:p>
      <w:pPr>
        <w:spacing w:after="20" w:before="0"/>
        <w:jc w:val="center"/>
      </w:pPr>
      <w:r>
        <w:rPr>
          <w:b/>
          <w:color w:val="1F4E78"/>
          <w:sz w:val="19"/>
        </w:rPr>
        <w:t>CIXCI Admin reviews and resolves permitted exceptions</w:t>
      </w:r>
    </w:p>
    <w:p>
      <w:pPr>
        <w:spacing w:after="20" w:before="0"/>
        <w:jc w:val="center"/>
      </w:pPr>
      <w:r>
        <w:rPr>
          <w:b/>
          <w:color w:val="1F4E78"/>
          <w:sz w:val="19"/>
        </w:rPr>
        <w:t>↓</w:t>
      </w:r>
    </w:p>
    <w:p>
      <w:pPr>
        <w:spacing w:after="20" w:before="0"/>
        <w:jc w:val="center"/>
      </w:pPr>
      <w:r>
        <w:rPr>
          <w:b/>
          <w:color w:val="1F4E78"/>
          <w:sz w:val="19"/>
        </w:rPr>
        <w:t>Approve Invoice</w:t>
      </w:r>
    </w:p>
    <w:p>
      <w:pPr>
        <w:spacing w:after="20" w:before="0"/>
        <w:jc w:val="center"/>
      </w:pPr>
      <w:r>
        <w:rPr>
          <w:b/>
          <w:color w:val="1F4E78"/>
          <w:sz w:val="19"/>
        </w:rPr>
        <w:t>↓</w:t>
      </w:r>
    </w:p>
    <w:p>
      <w:pPr>
        <w:spacing w:after="20" w:before="0"/>
        <w:jc w:val="center"/>
      </w:pPr>
      <w:r>
        <w:rPr>
          <w:b/>
          <w:color w:val="1F4E78"/>
          <w:sz w:val="19"/>
        </w:rPr>
        <w:t>Determine Vendor payable-package readiness where applicable</w:t>
      </w:r>
    </w:p>
    <w:p>
      <w:pPr>
        <w:spacing w:after="20" w:before="0"/>
        <w:jc w:val="center"/>
      </w:pPr>
      <w:r>
        <w:rPr>
          <w:b/>
          <w:color w:val="1F4E78"/>
          <w:sz w:val="19"/>
        </w:rPr>
        <w:t>↓</w:t>
      </w:r>
    </w:p>
    <w:p>
      <w:pPr>
        <w:spacing w:after="20" w:before="0"/>
        <w:jc w:val="center"/>
      </w:pPr>
      <w:r>
        <w:rPr>
          <w:b/>
          <w:color w:val="1F4E78"/>
          <w:sz w:val="19"/>
        </w:rPr>
        <w:t>Create QuickBooks handoff request/reference</w:t>
      </w:r>
    </w:p>
    <w:p>
      <w:pPr>
        <w:spacing w:after="20" w:before="0"/>
        <w:jc w:val="center"/>
      </w:pPr>
      <w:r>
        <w:rPr>
          <w:b/>
          <w:color w:val="1F4E78"/>
          <w:sz w:val="19"/>
        </w:rPr>
        <w:t>↓</w:t>
      </w:r>
    </w:p>
    <w:p>
      <w:pPr>
        <w:spacing w:after="20" w:before="0"/>
        <w:jc w:val="center"/>
      </w:pPr>
      <w:r>
        <w:rPr>
          <w:b/>
          <w:color w:val="1F4E78"/>
          <w:sz w:val="19"/>
        </w:rPr>
        <w:t>Stop at Integration Management boundary</w:t>
      </w:r>
    </w:p>
    <w:p>
      <w:pPr>
        <w:spacing w:after="20" w:before="0"/>
        <w:jc w:val="center"/>
      </w:pPr>
      <w:r>
        <w:rPr>
          <w:b/>
          <w:color w:val="1F4E78"/>
          <w:sz w:val="19"/>
        </w:rPr>
        <w:t>↓</w:t>
      </w:r>
    </w:p>
    <w:p>
      <w:pPr>
        <w:spacing w:after="20" w:before="0"/>
        <w:jc w:val="center"/>
      </w:pPr>
      <w:r>
        <w:rPr>
          <w:b/>
          <w:color w:val="1F4E78"/>
          <w:sz w:val="19"/>
        </w:rPr>
        <w:t>Later receive external sync/payment references without changing CIXCI source truth</w:t>
      </w:r>
    </w:p>
    <w:tbl>
      <w:tblPr>
        <w:tblStyle w:val="TableGrid"/>
        <w:tblW w:type="auto" w:w="0"/>
        <w:tblLook w:firstColumn="1" w:firstRow="1" w:lastColumn="0" w:lastRow="0" w:noHBand="0" w:noVBand="1" w:val="04A0"/>
      </w:tblPr>
      <w:tblGrid>
        <w:gridCol w:w="10224"/>
      </w:tblGrid>
      <w:tr>
        <w:trPr>
          <w:cantSplit/>
        </w:trPr>
        <w:tc>
          <w:tcPr>
            <w:tcW w:type="dxa" w:w="10224"/>
            <w:shd w:fill="E2F0D9"/>
            <w:tcMar>
              <w:top w:w="100" w:type="dxa"/>
              <w:start w:w="110" w:type="dxa"/>
              <w:bottom w:w="100" w:type="dxa"/>
              <w:end w:w="110" w:type="dxa"/>
            </w:tcMar>
          </w:tcPr>
          <w:p>
            <w:pPr>
              <w:spacing w:after="0"/>
            </w:pPr>
            <w:r>
              <w:rPr>
                <w:b/>
                <w:color w:val="17365D"/>
                <w:sz w:val="21"/>
              </w:rPr>
              <w:t>Developer Review Goal</w:t>
              <w:br/>
            </w:r>
            <w:r>
              <w:rPr>
                <w:sz w:val="20"/>
              </w:rPr>
              <w:t>Compare the current implementation against this flow and identify: (1) what is already implemented correctly, (2) what is partially implemented, (3) what is missing, and (4) anything currently implemented that violates a module boundary or immutable-evidence rule.</w:t>
            </w:r>
          </w:p>
        </w:tc>
      </w:tr>
    </w:tbl>
    <w:p>
      <w:pPr>
        <w:spacing w:after="20"/>
      </w:pPr>
    </w:p>
    <w:p>
      <w:pPr>
        <w:pStyle w:val="Heading1"/>
      </w:pPr>
      <w:r>
        <w:t>Reference Basis</w:t>
      </w:r>
    </w:p>
    <w:p>
      <w:r>
        <w:t>This guide consolidates the approved CIXCI Invoice Management architecture, cross-module ownership rules, monthly reconciliation/invoicing policy, and current project dependency decisions. Where a commercial value is shown, it is a business-policy input consumed through Pricing evidence rather than a calculation rule owned by Invoice Management.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Expected Workflow &amp; Implementation Comparison Guide | v1.0 | October 14,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CIXCI | Invoice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pPr>
      <w:spacing w:after="80"/>
    </w:pPr>
    <w:rPr>
      <w:rFonts w:ascii="Aptos Display" w:hAnsi="Aptos Display"/>
      <w:b/>
      <w:color w:val="17365D"/>
      <w:sz w:val="4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CIXCI Invoice Management - Expected Workflow &amp; Implementation Comparison Guide</dc:title>
  <dc:subject>Developer implementation comparison guide for CIXCI Invoice Management</dc:subject>
  <dc:creator>CIXCI LLC</dc:creator>
  <cp:keywords>CIXCI, Invoice Management, invoicing, reconciliation, QuickBooks, developer</cp:keywords>
  <dc:description>generated by python-docx</dc:description>
  <cp:lastModifiedBy/>
  <cp:revision>1</cp:revision>
  <dcterms:created xsi:type="dcterms:W3CDTF">2013-12-23T23:15:00Z</dcterms:created>
  <dcterms:modified xsi:type="dcterms:W3CDTF">2013-12-23T23:15:00Z</dcterms:modified>
  <cp:category/>
</cp:coreProperties>
</file>