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>Northbeam DESIGN</w:t>
      </w:r>
    </w:p>
    <w:p>
      <w:pPr>
        <w:spacing w:after="600"/>
      </w:pPr>
      <w:r>
        <w:rPr>
          <w:rFonts w:ascii="Arial" w:cs="Arial" w:eastAsia="Arial" w:hAnsi="Arial"/>
          <w:color w:val="666666"/>
          <w:sz w:val="22"/>
          <w:szCs w:val="22"/>
        </w:rPr>
        <w:t>Northbeam Ho Chi Minh City</w:t>
      </w:r>
    </w:p>
    <w:p>
      <w:pPr>
        <w:spacing w:after="20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Fee Proposal</w:t>
      </w:r>
    </w:p>
    <w:p>
      <w:pPr>
        <w:spacing w:after="400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Saigon Riverside One - mixed-use tower (residential, hotel, retail)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Prepared for: Saigon Riverside Land JSC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Location: Ho Chi Minh City, Vietnam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Reference: NBS-SGN-2024-011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Date: 2024-04-02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Validity: 90 days from the date of issue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Project Understanding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Saigon Riverside Land JSC has invited Northbeam Studio to submit a fee proposal for Saigon Riverside One - mixed-use tower (residential, hotel, retail), located in Ho Chi Minh City, Vietnam. The proposal covers Architecture, Interior Design, Landscape Architecture services from Concept Design to GFC Review.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Gross floor area (GFA)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96,000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7,400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3,500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12,000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Residential units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Hotel keys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considerations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Tight riverfront plot, three uses stacked, height-limit negotiation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Scope of Services</w:t>
      </w:r>
    </w:p>
    <w:p>
      <w:pPr>
        <w:pStyle w:val="Heading2"/>
      </w:pPr>
      <w:r>
        <w:rPr>
          <w:rFonts w:ascii="Arial" w:cs="Arial" w:eastAsia="Arial" w:hAnsi="Arial"/>
        </w:rPr>
        <w:t xml:space="preserve">2.1 Architecture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Design vision and narrative; site planning and massing; plans, sections and elevations at concept level; outline area schedule; material palette; concept report and presentation.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Development of the approved concept; coordinated plans, sections and elevations; facade strategy; preliminary coordination with structural and MEP consultants; updated area schedule; schematic design report.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Basic Design / Design Development: </w:t>
      </w:r>
      <w:r>
        <w:rPr>
          <w:rFonts w:ascii="Arial" w:cs="Arial" w:eastAsia="Arial" w:hAnsi="Arial"/>
          <w:sz w:val="21"/>
          <w:szCs w:val="21"/>
        </w:rPr>
        <w:t xml:space="preserve">Fully coordinated design development drawings; facade and envelope details; key interior architecture details; outline specifications; design development report to support the local architect of record.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GFC Review: </w:t>
      </w:r>
      <w:r>
        <w:rPr>
          <w:rFonts w:ascii="Arial" w:cs="Arial" w:eastAsia="Arial" w:hAnsi="Arial"/>
          <w:sz w:val="21"/>
          <w:szCs w:val="21"/>
        </w:rPr>
        <w:t xml:space="preserve">Review of good-for-construction drawings prepared by the local architect of record for compliance with design intent; written comments and one follow-up review.</w:t>
      </w:r>
    </w:p>
    <w:p>
      <w:pPr>
        <w:pStyle w:val="Heading2"/>
      </w:pPr>
      <w:r>
        <w:rPr>
          <w:rFonts w:ascii="Arial" w:cs="Arial" w:eastAsia="Arial" w:hAnsi="Arial"/>
        </w:rPr>
        <w:t xml:space="preserve">2.2 Interior Design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Interior design concept and mood boards for public areas and key typical spaces; space planning; concept presentation.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Developed layouts, reflected ceiling plans, key elevations and finishes palette; preliminary FF&amp;E strategy.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Basic Design / Design Development: </w:t>
      </w:r>
      <w:r>
        <w:rPr>
          <w:rFonts w:ascii="Arial" w:cs="Arial" w:eastAsia="Arial" w:hAnsi="Arial"/>
          <w:sz w:val="21"/>
          <w:szCs w:val="21"/>
        </w:rPr>
        <w:t xml:space="preserve">Detailed interior drawings for public areas and typical rooms or units; finishes schedule; FF&amp;E design intent package.</w:t>
      </w:r>
    </w:p>
    <w:p>
      <w:pPr>
        <w:pStyle w:val="Heading2"/>
      </w:pPr>
      <w:r>
        <w:rPr>
          <w:rFonts w:ascii="Arial" w:cs="Arial" w:eastAsia="Arial" w:hAnsi="Arial"/>
        </w:rPr>
        <w:t xml:space="preserve">2.3 Landscape Architecture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Landscape concept and planting strategy; open space framework; hardscape and softscape character.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Developed landscape plans; levels strategy; planting palette; water features and amenity areas.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Basic Design / Design Development: </w:t>
      </w:r>
      <w:r>
        <w:rPr>
          <w:rFonts w:ascii="Arial" w:cs="Arial" w:eastAsia="Arial" w:hAnsi="Arial"/>
          <w:sz w:val="21"/>
          <w:szCs w:val="21"/>
        </w:rPr>
        <w:t xml:space="preserve">Coordinated landscape design development drawings; hardscape details; planting plans; irrigation design intent.</w:t>
      </w:r>
    </w:p>
    <w:p>
      <w:pPr>
        <w:pStyle w:val="Heading1"/>
      </w:pPr>
      <w:r>
        <w:rPr>
          <w:rFonts w:ascii="Arial" w:cs="Arial" w:eastAsia="Arial" w:hAnsi="Arial"/>
        </w:rPr>
        <w:t xml:space="preserve">3.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 report and drawings per stage: 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Rendered images: 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Client presentations: 5</w:t>
      </w:r>
    </w:p>
    <w:p>
      <w:pPr>
        <w:pStyle w:val="Heading1"/>
      </w:pPr>
      <w:r>
        <w:rPr>
          <w:rFonts w:ascii="Arial" w:cs="Arial" w:eastAsia="Arial" w:hAnsi="Arial"/>
        </w:rPr>
        <w:t xml:space="preserve">4. Programme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Indicative duration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weeks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weeks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Basic Design / Design Development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weeks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GFC Review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weeks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Durations exclude client review periods of two weeks per stage.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Fee Proposal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All fees are in USD and exclude VAT or other applicable taxes.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38"/>
        <w:gridCol w:w="25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Service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Fee (USD)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831,500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831,500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Basic Design / Design Development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1,109,000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GFC Review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277,000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102,500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102,500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Basic Design / Design Development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137,000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5,700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5,700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Basic Design / Design Development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7,600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professional fee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3,410,000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Reimbursable Expenses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2300"/>
        <w:gridCol w:w="23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Quantity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Unit rate (USD)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(USD)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Rendered images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1,500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21,000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visits and meetings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6,000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30,000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  <w:rPr>
          <w:color w:val="666666"/>
          <w:sz w:val="18"/>
          <w:szCs w:val="18"/>
        </w:rPr>
      </w:pPr>
      <w:r>
        <w:rPr>
          <w:rFonts w:ascii="Arial" w:cs="Arial" w:eastAsia="Arial" w:hAnsi="Arial"/>
          <w:color w:val="666666"/>
          <w:sz w:val="18"/>
          <w:szCs w:val="18"/>
        </w:rPr>
        <w:t xml:space="preserve">Marketing-quality still images</w:t>
      </w:r>
    </w:p>
    <w:p>
      <w:pPr>
        <w:spacing w:after="120" w:line="288"/>
        <w:rPr>
          <w:color w:val="666666"/>
          <w:sz w:val="18"/>
          <w:szCs w:val="18"/>
        </w:rPr>
      </w:pPr>
      <w:r>
        <w:rPr>
          <w:rFonts w:ascii="Arial" w:cs="Arial" w:eastAsia="Arial" w:hAnsi="Arial"/>
          <w:color w:val="666666"/>
          <w:sz w:val="18"/>
          <w:szCs w:val="18"/>
        </w:rPr>
        <w:t xml:space="preserve">long haul trip, 2 staff, flights, hotel, per diem</w:t>
      </w:r>
    </w:p>
    <w:p>
      <w:pPr>
        <w:pStyle w:val="Heading1"/>
      </w:pPr>
      <w:r>
        <w:rPr>
          <w:rFonts w:ascii="Arial" w:cs="Arial" w:eastAsia="Arial" w:hAnsi="Arial"/>
        </w:rPr>
        <w:t xml:space="preserve">7. Payment Schedule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1300"/>
        <w:gridCol w:w="25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Milestone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Share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(USD)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Advance on signing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341,000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Concept Design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24.8%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845,680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Schematic Design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24.8%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845,680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Design Development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33.1%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1,128,710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GFC Review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7.3%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248,930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Invoices are payable within 30 days of issue.</w:t>
      </w:r>
    </w:p>
    <w:p>
      <w:pPr>
        <w:pStyle w:val="Heading1"/>
      </w:pPr>
      <w:r>
        <w:rPr>
          <w:rFonts w:ascii="Arial" w:cs="Arial" w:eastAsia="Arial" w:hAnsi="Arial"/>
        </w:rPr>
        <w:t xml:space="preserve">8. Exclusions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Structural, MEP and civil engineering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Local architect of record and authority submissions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Construction documentation and tender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Site supervision and contract administration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Surveys, geotechnical investigations and specialist consultants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Physical models</w:t>
      </w:r>
    </w:p>
    <w:p>
      <w:pPr>
        <w:pStyle w:val="Heading1"/>
      </w:pPr>
      <w:r>
        <w:rPr>
          <w:rFonts w:ascii="Arial" w:cs="Arial" w:eastAsia="Arial" w:hAnsi="Arial"/>
        </w:rPr>
        <w:t xml:space="preserve">9. Terms and Conditions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This proposal is subject to Northbeam Studio's Standard Terms of Engagement (version 2023.1), including: two rounds of design revisions per stage; liability limited to 100% of the professional fee; copyright in the design retained by Northbeam Studio; suspension rights for late payment; and termination on 30 days' written notice.</w:t>
      </w:r>
    </w:p>
    <w:p>
      <w:pPr>
        <w:pStyle w:val="Heading2"/>
      </w:pPr>
      <w:r>
        <w:rPr>
          <w:rFonts w:ascii="Arial" w:cs="Arial" w:eastAsia="Arial" w:hAnsi="Arial"/>
        </w:rPr>
        <w:t xml:space="preserve">Client-requested amendments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Clause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 request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Northbeam position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Liability cap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Uncapped liability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Cap at 100% of fee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Payment terms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90 days from invoice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 days from invoice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For and on behalf of Northbeam Studio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Northbeam Ho Chi Minh City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32D2D"/>
        <w:sz w:val="15"/>
        <w:szCs w:val="15"/>
      </w:rPr>
      <w:t xml:space="preserve">SYNTHETIC TEST DOCUMENT - NOT A REAL Northbeam PROPOSAL  ·  Page </w:t>
    </w:r>
    <w:r>
      <w:rPr>
        <w:rFonts w:ascii="Arial" w:cs="Arial" w:eastAsia="Arial" w:hAnsi="Arial"/>
        <w:color w:val="A32D2D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>Northbeam Studio  ·  NBS-SGN-2024-011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A5F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Saigon Riverside One - mixed-use tower (residential, hotel, retail)</dc:title>
  <dc:creator>SOG Design (synthetic)</dc:creator>
  <cp:lastModifiedBy>Un-named</cp:lastModifiedBy>
  <cp:revision>1</cp:revision>
  <dcterms:created xsi:type="dcterms:W3CDTF">2026-10-03T02:02:31.953Z</dcterms:created>
  <dcterms:modified xsi:type="dcterms:W3CDTF">2026-10-03T02:02:31.953Z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