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>Northbeam DESIGN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>Northbeam Dubai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Fee Proposal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Bay Square Offices - mid-rise office building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Prepared for: Marina Crest Developments LLC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Location: Dubai, UAE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Reference: NBS-DXB-2026-006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Date: 2026-03-04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Validity: 90 days from the date of issue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Understanding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Marina Crest Developments LLC has invited Northbeam Studio to submit a fee proposal for Bay Square Offices - mid-rise office building, located in Dubai, UAE. The proposal covers Architecture, Interior Design services from Concept Design to Schematic Design.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Gross floor area (GFA)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3,600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considerations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Regular plot in established business district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Northbeam Studio is pleased to continue its collaboration with Marina Crest Developments LLC.</w:t>
      </w:r>
    </w:p>
    <w:p>
      <w:pPr>
        <w:pStyle w:val="Heading1"/>
      </w:pPr>
      <w:r>
        <w:rPr>
          <w:rFonts w:ascii="Arial" w:cs="Arial" w:eastAsia="Arial" w:hAnsi="Arial"/>
        </w:rPr>
        <w:t xml:space="preserve">2. Scope of Services</w:t>
      </w:r>
    </w:p>
    <w:p>
      <w:pPr>
        <w:pStyle w:val="Heading2"/>
      </w:pPr>
      <w:r>
        <w:rPr>
          <w:rFonts w:ascii="Arial" w:cs="Arial" w:eastAsia="Arial" w:hAnsi="Arial"/>
        </w:rPr>
        <w:t xml:space="preserve">2.1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Design vision and narrative; site planning and massing; plans, sections and elevations at concept level; outline area schedule; material palette; concept report and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Development of the approved concept; coordinated plans, sections and elevations; facade strategy; preliminary coordination with structural and MEP consultants; updated area schedule; schematic design report.</w:t>
      </w:r>
    </w:p>
    <w:p>
      <w:pPr>
        <w:pStyle w:val="Heading2"/>
      </w:pPr>
      <w:r>
        <w:rPr>
          <w:rFonts w:ascii="Arial" w:cs="Arial" w:eastAsia="Arial" w:hAnsi="Arial"/>
        </w:rPr>
        <w:t xml:space="preserve">2.2 Interior Design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Interior design concept and mood boards for public areas and key typical spaces; space planning; concept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layouts, reflected ceiling plans, key elevations and finishes palette; preliminary FF&amp;E strategy.</w:t>
      </w:r>
    </w:p>
    <w:p>
      <w:pPr>
        <w:pStyle w:val="Heading1"/>
      </w:pPr>
      <w:r>
        <w:rPr>
          <w:rFonts w:ascii="Arial" w:cs="Arial" w:eastAsia="Arial" w:hAnsi="Arial"/>
        </w:rPr>
        <w:t xml:space="preserve">3.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report and drawings per stage: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Rendered images: 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presentations: 3</w:t>
      </w:r>
    </w:p>
    <w:p>
      <w:pPr>
        <w:pStyle w:val="Heading1"/>
      </w:pPr>
      <w:r>
        <w:rPr>
          <w:rFonts w:ascii="Arial" w:cs="Arial" w:eastAsia="Arial" w:hAnsi="Arial"/>
        </w:rPr>
        <w:t xml:space="preserve">4.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Indicative duration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Durations exclude client review periods of two weeks per stage.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Fee Proposal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All fees are in AED and exclude VAT or other applicable taxes.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 (AED)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735,000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735,000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professional fee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1,800,000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Reimbursable Expenses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00"/>
        <w:gridCol w:w="23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rate (AED)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(AED)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Rendered images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7,500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Marketing-quality still images</w:t>
      </w:r>
    </w:p>
    <w:p>
      <w:pPr>
        <w:pStyle w:val="Heading1"/>
      </w:pPr>
      <w:r>
        <w:rPr>
          <w:rFonts w:ascii="Arial" w:cs="Arial" w:eastAsia="Arial" w:hAnsi="Arial"/>
        </w:rPr>
        <w:t xml:space="preserve">7. Payment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300"/>
        <w:gridCol w:w="25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(AED)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 on signing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180,000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Concept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810,000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Schematic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810,000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Invoices are payable within 30 days of issue.</w:t>
      </w:r>
    </w:p>
    <w:p>
      <w:pPr>
        <w:pStyle w:val="Heading1"/>
      </w:pPr>
      <w:r>
        <w:rPr>
          <w:rFonts w:ascii="Arial" w:cs="Arial" w:eastAsia="Arial" w:hAnsi="Arial"/>
        </w:rPr>
        <w:t xml:space="preserve">8.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Structural, MEP and civil engineering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 architect of record and authority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Construction documentation and tender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Site supervision and contract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Surveys, geotechnical investigations and specialist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Physical models</w:t>
      </w:r>
    </w:p>
    <w:p>
      <w:pPr>
        <w:pStyle w:val="Heading1"/>
      </w:pPr>
      <w:r>
        <w:rPr>
          <w:rFonts w:ascii="Arial" w:cs="Arial" w:eastAsia="Arial" w:hAnsi="Arial"/>
        </w:rPr>
        <w:t xml:space="preserve">9. Terms and Conditions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This proposal is subject to Northbeam Studio's Standard Terms of Engagement (version 2023.1), including: two rounds of design revisions per stage; liability limited to 100% of the professional fee; copyright in the design retained by Northbeam Studio; suspension rights for late payment; and termination on 30 days' written notice.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For and on behalf of Northbeam Studio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Northbeam Dubai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32D2D"/>
        <w:sz w:val="15"/>
        <w:szCs w:val="15"/>
      </w:rPr>
      <w:t xml:space="preserve">SYNTHETIC TEST DOCUMENT - NOT A REAL Northbeam PROPOSAL  ·  Page </w:t>
    </w:r>
    <w:r>
      <w:rPr>
        <w:rFonts w:ascii="Arial" w:cs="Arial" w:eastAsia="Arial" w:hAnsi="Arial"/>
        <w:color w:val="A32D2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>Northbeam Studio  ·  NBS-DXB-2026-006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 Square Offices - mid-rise office building</dc:title>
  <dc:creator>SOG Design (synthetic)</dc:creator>
  <cp:lastModifiedBy>Un-named</cp:lastModifiedBy>
  <cp:revision>1</cp:revision>
  <dcterms:created xsi:type="dcterms:W3CDTF">2026-10-03T02:02:32.155Z</dcterms:created>
  <dcterms:modified xsi:type="dcterms:W3CDTF">2026-10-03T02:02:32.155Z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