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000"/>
      </w:pPr>
      <w:r>
        <w:rPr>
          <w:rFonts w:ascii="Arial" w:cs="Arial" w:eastAsia="Arial" w:hAnsi="Arial"/>
          <w:b/>
          <w:bCs/>
          <w:color w:val="1F3A5F"/>
          <w:sz w:val="28"/>
          <w:szCs w:val="28"/>
        </w:rPr>
        <w:t xml:space="preserve">SOG DESIGN</w:t>
      </w:r>
    </w:p>
    <w:p>
      <w:pPr>
        <w:spacing w:after="6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SOG Guangzhou</w:t>
      </w:r>
    </w:p>
    <w:p>
      <w:pPr>
        <w:spacing w:after="2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Fee Proposal</w:t>
      </w:r>
    </w:p>
    <w:p>
      <w:pPr>
        <w:spacing w:after="400"/>
      </w:pPr>
      <w:r>
        <w:rPr>
          <w:rFonts w:ascii="Arial" w:cs="Arial" w:eastAsia="Arial" w:hAnsi="Arial"/>
          <w:b/>
          <w:bCs/>
          <w:color w:val="1F3A5F"/>
          <w:sz w:val="44"/>
          <w:szCs w:val="44"/>
        </w:rPr>
        <w:t xml:space="preserve">Pearl Delta Tech HQ campus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Prepared for: Pearl Delta Technology Group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Location: Guangzhou, China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Reference: SOG-CAN-2023-008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Date: 2023-11-06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Validity: 90 days from the date of issue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Project Understanding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Pearl Delta Technology Group has invited SOG Design to submit a fee proposal for Pearl Delta Tech HQ campus, located in Guangzhou, China. The proposal covers Architecture, Landscape Architecture services from Concept Design to Preliminary Design (DD).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Gross floor area (GFA)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88,000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52,000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area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26,000 m²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Site considerations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Campus of four buildings with shared podium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2. Scope of Services</w:t>
      </w:r>
    </w:p>
    <w:p>
      <w:pPr>
        <w:pStyle w:val="Heading2"/>
      </w:pPr>
      <w:r>
        <w:rPr>
          <w:rFonts w:ascii="Arial" w:cs="Arial" w:eastAsia="Arial" w:hAnsi="Arial"/>
        </w:rPr>
        <w:t xml:space="preserve">2.1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Design vision and narrative; site planning and massing; plans, sections and elevations at concept level; outline area schedule; material palette; concept report and presentation.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Development of the approved concept; coordinated plans, sections and elevations; facade strategy; preliminary coordination with structural and MEP consultants; updated area schedule; schematic design report.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Preliminary Design (DD): </w:t>
      </w:r>
      <w:r>
        <w:rPr>
          <w:rFonts w:ascii="Arial" w:cs="Arial" w:eastAsia="Arial" w:hAnsi="Arial"/>
          <w:sz w:val="21"/>
          <w:szCs w:val="21"/>
        </w:rPr>
        <w:t xml:space="preserve">Fully coordinated design development drawings; facade and envelope details; key interior architecture details; outline specifications; design development report to support the local architect of record.</w:t>
      </w:r>
    </w:p>
    <w:p>
      <w:pPr>
        <w:pStyle w:val="Heading2"/>
      </w:pPr>
      <w:r>
        <w:rPr>
          <w:rFonts w:ascii="Arial" w:cs="Arial" w:eastAsia="Arial" w:hAnsi="Arial"/>
        </w:rPr>
        <w:t xml:space="preserve">2.2 Landscape Architecture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Concept Design: </w:t>
      </w:r>
      <w:r>
        <w:rPr>
          <w:rFonts w:ascii="Arial" w:cs="Arial" w:eastAsia="Arial" w:hAnsi="Arial"/>
          <w:sz w:val="21"/>
          <w:szCs w:val="21"/>
        </w:rPr>
        <w:t xml:space="preserve">Landscape concept and planting strategy; open space framework; hardscape and softscape character.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Schematic Design: </w:t>
      </w:r>
      <w:r>
        <w:rPr>
          <w:rFonts w:ascii="Arial" w:cs="Arial" w:eastAsia="Arial" w:hAnsi="Arial"/>
          <w:sz w:val="21"/>
          <w:szCs w:val="21"/>
        </w:rPr>
        <w:t xml:space="preserve">Developed landscape plans; levels strategy; planting palette; water features and amenity areas.</w:t>
      </w:r>
    </w:p>
    <w:p>
      <w:pPr>
        <w:spacing w:after="6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Preliminary Design (DD): </w:t>
      </w:r>
      <w:r>
        <w:rPr>
          <w:rFonts w:ascii="Arial" w:cs="Arial" w:eastAsia="Arial" w:hAnsi="Arial"/>
          <w:sz w:val="21"/>
          <w:szCs w:val="21"/>
        </w:rPr>
        <w:t xml:space="preserve">Coordinated landscape design development drawings; hardscape details; planting plans; irrigation design intent.</w:t>
      </w:r>
    </w:p>
    <w:p>
      <w:pPr>
        <w:pStyle w:val="Heading1"/>
      </w:pPr>
      <w:r>
        <w:rPr>
          <w:rFonts w:ascii="Arial" w:cs="Arial" w:eastAsia="Arial" w:hAnsi="Arial"/>
        </w:rPr>
        <w:t xml:space="preserve">3. Deliverables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Design report and drawings per stage: 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Rendered images: 12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Client presentations: 4</w:t>
      </w:r>
    </w:p>
    <w:p>
      <w:pPr>
        <w:pStyle w:val="Heading1"/>
      </w:pPr>
      <w:r>
        <w:rPr>
          <w:rFonts w:ascii="Arial" w:cs="Arial" w:eastAsia="Arial" w:hAnsi="Arial"/>
        </w:rPr>
        <w:t xml:space="preserve">4. Programme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638"/>
      </w:tblGrid>
      <w:tr>
        <w:trPr>
          <w:tblHeader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Indicative duration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8 weeks</w:t>
            </w:r>
          </w:p>
        </w:tc>
      </w:tr>
      <w:tr>
        <w:trPr>
          <w:cantSplit/>
        </w:trPr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Preliminary Design (DD)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 weeks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Durations exclude client review periods of two weeks per stage.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Fee Proposal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All fees are in CNY and exclude VAT or other applicable taxes.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138"/>
        <w:gridCol w:w="25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Stage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Fee (CNY)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3,380,000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3,380,000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Preliminary Design (DD)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4,510,000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Concept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Schematic Design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Landscape Architecture</w:t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Preliminary Design (DD)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360,000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/>
            </w:r>
          </w:p>
        </w:tc>
        <w:tc>
          <w:tcPr>
            <w:tcW w:type="dxa" w:w="41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professional fee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12,170,000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1"/>
      </w:pPr>
      <w:r>
        <w:rPr>
          <w:rFonts w:ascii="Arial" w:cs="Arial" w:eastAsia="Arial" w:hAnsi="Arial"/>
        </w:rPr>
        <w:t xml:space="preserve">6. Reimbursable Expenses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2300"/>
        <w:gridCol w:w="2338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Quantity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Unit rate (CNY)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(CNY)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Rendered images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11,000</w:t>
            </w:r>
          </w:p>
        </w:tc>
        <w:tc>
          <w:tcPr>
            <w:tcW w:type="dxa" w:w="2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132,000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  <w:rPr>
          <w:color w:val="666666"/>
          <w:sz w:val="18"/>
          <w:szCs w:val="18"/>
        </w:rPr>
      </w:pPr>
      <w:r>
        <w:rPr>
          <w:rFonts w:ascii="Arial" w:cs="Arial" w:eastAsia="Arial" w:hAnsi="Arial"/>
          <w:color w:val="666666"/>
          <w:sz w:val="18"/>
          <w:szCs w:val="18"/>
        </w:rPr>
        <w:t xml:space="preserve">Marketing-quality still images</w:t>
      </w:r>
    </w:p>
    <w:p>
      <w:pPr>
        <w:pStyle w:val="Heading1"/>
      </w:pPr>
      <w:r>
        <w:rPr>
          <w:rFonts w:ascii="Arial" w:cs="Arial" w:eastAsia="Arial" w:hAnsi="Arial"/>
        </w:rPr>
        <w:t xml:space="preserve">7. Payment Schedule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5000"/>
        <w:gridCol w:w="1300"/>
        <w:gridCol w:w="2538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No.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Milestone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Share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Amount (CNY)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Advance on signing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10%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1,217,000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Concept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3,285,900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Schematic Design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27%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3,285,900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On approval of Design Development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36%</w:t>
            </w:r>
          </w:p>
        </w:tc>
        <w:tc>
          <w:tcPr>
            <w:tcW w:type="dxa" w:w="25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4,381,200</w:t>
            </w:r>
          </w:p>
        </w:tc>
      </w:tr>
    </w:tbl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Invoices are payable within 30 days of issue.</w:t>
      </w:r>
    </w:p>
    <w:p>
      <w:pPr>
        <w:pStyle w:val="Heading1"/>
      </w:pPr>
      <w:r>
        <w:rPr>
          <w:rFonts w:ascii="Arial" w:cs="Arial" w:eastAsia="Arial" w:hAnsi="Arial"/>
        </w:rPr>
        <w:t xml:space="preserve">8. Exclusions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Structural, MEP and civil engineering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Local architect of record and authority submissions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Construction documentation and tender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Site supervision and contract administration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Surveys, geotechnical investigations and specialist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Physical models</w:t>
      </w:r>
    </w:p>
    <w:p>
      <w:pPr>
        <w:pStyle w:val="Heading1"/>
      </w:pPr>
      <w:r>
        <w:rPr>
          <w:rFonts w:ascii="Arial" w:cs="Arial" w:eastAsia="Arial" w:hAnsi="Arial"/>
        </w:rPr>
        <w:t xml:space="preserve">9. Terms and Conditions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This proposal is subject to SOG Design's Standard Terms of Engagement (version 2023.1), including: two rounds of design revisions per stage; liability limited to 100% of the professional fee; copyright in the design retained by SOG Design; suspension rights for late payment; and termination on 30 days' written notice.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For and on behalf of SOG Design</w:t>
      </w:r>
    </w:p>
    <w:p>
      <w:pPr>
        <w:spacing w:after="120" w:line="288"/>
      </w:pPr>
      <w:r>
        <w:rPr>
          <w:rFonts w:ascii="Arial" w:cs="Arial" w:eastAsia="Arial" w:hAnsi="Arial"/>
          <w:sz w:val="21"/>
          <w:szCs w:val="21"/>
        </w:rPr>
        <w:t xml:space="preserve">SOG Guangzhou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A32D2D"/>
        <w:sz w:val="15"/>
        <w:szCs w:val="15"/>
      </w:rPr>
      <w:t xml:space="preserve">SYNTHETIC TEST DOCUMENT - NOT A REAL SOG PROPOSAL  ·  Page </w:t>
    </w:r>
    <w:r>
      <w:rPr>
        <w:rFonts w:ascii="Arial" w:cs="Arial" w:eastAsia="Arial" w:hAnsi="Arial"/>
        <w:color w:val="A32D2D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SOG Design  ·  SOG-CAN-2023-008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A5F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Pearl Delta Tech HQ campus</dc:title>
  <dc:creator>SOG Design (synthetic)</dc:creator>
  <cp:lastModifiedBy>Un-named</cp:lastModifiedBy>
  <cp:revision>1</cp:revision>
  <dcterms:created xsi:type="dcterms:W3CDTF">2026-10-03T02:02:32.045Z</dcterms:created>
  <dcterms:modified xsi:type="dcterms:W3CDTF">2026-10-03T02:02:32.045Z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