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07a9a59a914b74" /><Relationship Type="http://schemas.openxmlformats.org/package/2006/relationships/metadata/core-properties" Target="/package/services/metadata/core-properties/1623f239c377465fa77c5432beac1cc2.psmdcp" Id="R87d035410fdc4173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3700" w:after="160" w:line="200" w:lineRule="exact"/>
        <w:ind w:firstLine="0"/>
        <w:jc w:val="both"/>
      </w:pPr>
      <w:r>
        <w:rPr>
          <w:u w:val="single"/>
          <w:sz w:val="18"/>
          <w:rFonts w:hint="eastAsia" w:ascii="Calibri" w:hAnsi="Calibri" w:eastAsia="Calibri"/>
          <w:color w:val="000000"/>
        </w:rPr>
        <w:t xml:space="preserve">Table 94 Tobacco and alcohol use by women and men-Continued</w:t>
      </w:r>
    </w:p>
    <w:p>
      <w:pPr>
        <w:tabs/>
        <w:spacing w:after="160" w:line="200" w:lineRule="exact"/>
        <w:ind w:firstLine="0"/>
        <w:jc w:val="both"/>
      </w:pPr>
      <w:r>
        <w:rPr>
          <w:sz w:val="18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cigarettes </w:t>
      </w:r>
      <w:r>
        <w:rPr>
          <w:sz w:val="18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alcohal,the percent </w:t>
      </w:r>
      <w:r>
        <w:rPr>
          <w:sz w:val="18"/>
          <w:rFonts w:hint="eastAsia" w:ascii="Calibri" w:hAnsi="Calibri" w:eastAsia="Calibri"/>
          <w:color w:val="000000"/>
        </w:rPr>
        <w:t xml:space="preserve">distribution of the frequency of alcohal consumption,by residence,Assam,2019-21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100" w:type="dxa"/>
        <w:tblLook w:val="04A0" w:firstRow="true" w:lastRow="false" w:firstColumn="true" w:lastColumn="false" w:noHBand="false" w:noVBand="true"/>
      </w:tblPr>
      <w:tblGrid>
        <w:gridCol w:w="2820"/>
        <w:gridCol w:w="1600"/>
        <w:gridCol w:w="940"/>
        <w:gridCol w:w="940"/>
        <w:gridCol w:w="940"/>
        <w:gridCol w:w="940"/>
        <w:gridCol w:w="840"/>
      </w:tblGrid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20" w:type="dxa"/>
            <w:tcBorders/>
            <w:vAlign w:val="center"/>
          </w:tcPr>
          <w:p/>
        </w:tc>
        <w:tc>
          <w:tcPr>
            <w:tcW w:w="160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Wamen</w:t>
            </w:r>
          </w:p>
        </w:tc>
        <w:tc>
          <w:tcPr>
            <w:tcW w:w="94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840" w:type="dxa"/>
            <w:tcBorders/>
            <w:vAlign w:val="center"/>
          </w:tcPr>
          <w:p/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c>
          <w:tcPr>
            <w:tcW w:w="2820" w:type="dxa"/>
            <w:tcBorders/>
            <w:vAlign w:val="bottom"/>
          </w:tcPr>
          <w:p>
            <w:pPr>
              <w:tabs/>
              <w:spacing w:line="17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drink alcohol,frequ</w:t>
            </w:r>
          </w:p>
        </w:tc>
        <w:tc>
          <w:tcPr>
            <w:tcW w:w="1600" w:type="dxa"/>
            <w:tcBorders/>
            <w:vAlign w:val="bottom"/>
          </w:tcPr>
          <w:p>
            <w:pPr>
              <w:tabs/>
              <w:spacing w:before="380"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ency</w:t>
            </w:r>
          </w:p>
        </w:tc>
        <w:tc>
          <w:tcPr>
            <w:tcW w:w="94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160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/>
        </w:tc>
        <w:tc>
          <w:tcPr>
            <w:tcW w:w="9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44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1.9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9.5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9.1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22.3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25.9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25.3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31.7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41.9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41.4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36.8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49.8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47.7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66.5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48.7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49.5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40.9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27.0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rPr>
          <w:trHeight w:val="480"/>
        </w:trPr>
        <w:tc>
          <w:tcPr>
            <w:tcW w:w="282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160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88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1,832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1,920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196</w:t>
            </w:r>
          </w:p>
        </w:tc>
        <w:tc>
          <w:tcPr>
            <w:tcW w:w="94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1,009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1,205</w:t>
            </w:r>
          </w:p>
        </w:tc>
      </w:tr>
      <w:tr w:rsidR="00A23914" w:rsidTr="00A23914">
        <w:trPr>
          <w:trHeight w:val="300"/>
        </w:trPr>
        <w:tc>
          <w:tcPr>
            <w:gridSpan w:val="7"/>
            <w:tcW w:w="902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Note:Figures in parentheses are based on 25-49 unweighted cases. An asterisk indicates that a figure is based on fewer than 25</w:t>
            </w:r>
          </w:p>
        </w:tc>
      </w:tr>
      <w:tr w:rsidR="00A23914" w:rsidTr="00A23914">
        <w:trPr>
          <w:trHeight w:val="80"/>
        </w:trPr>
        <w:tc>
          <w:tcPr>
            <w:gridSpan w:val="7"/>
            <w:tcW w:w="9020" w:type="dxa"/>
            <w:tcBorders/>
            <w:vAlign w:val="center"/>
          </w:tcPr>
          <w:p>
            <w:pPr>
              <w:tabs/>
              <w:spacing w:line="100" w:lineRule="exact"/>
              <w:ind w:firstLine="0"/>
              <w:jc w:val="left"/>
            </w:pPr>
            <w:r>
              <w:rPr>
                <w:sz w:val="8"/>
                <w:rFonts w:hint="eastAsia" w:ascii="Calibri" w:hAnsi="Calibri" w:eastAsia="Calibri"/>
                <w:color w:val="000000"/>
              </w:rPr>
              <w:t xml:space="preserve">unweihted cases and has been suressed</w:t>
            </w:r>
          </w:p>
        </w:tc>
      </w:tr>
    </w:tbl>
    <w:p>
      <w:pPr>
        <w:tabs/>
        <w:spacing w:before="200" w:line="220" w:lineRule="exact"/>
        <w:ind w:firstLine="0"/>
        <w:jc w:val="both"/>
        <w:sectPr>
          <w:type w:val="continuous"/>
          <w:pgSz w:w="11900" w:h="16840" w:orient="portrait"/>
          <w:pgMar w:top="1440" w:right="1340" w:bottom="1440" w:left="1320" w:header="0" w:footer="0"/>
          <w:cols w:equalWidth="true" w:num="1"/>
        </w:sectPr>
      </w:pPr>
      <w:r>
        <w:rPr>
          <w:sz w:val="20"/>
          <w:rFonts w:hint="eastAsia" w:ascii="Calibri" w:hAnsi="Calibri" w:eastAsia="Calibri"/>
          <w:color w:val="000000"/>
        </w:rPr>
        <w:t xml:space="preserve">nc=No cases</w:t>
      </w:r>
    </w:p>
    <w:p>
      <w:pPr>
        <w:spacing w:line="1" w:lineRule="exact"/>
      </w:pPr>
    </w:p>
    <w:sectPr>
      <w:type w:val="continuous"/>
      <w:pgMar w:top="1440" w:right="1340" w:bottom="1440" w:left="132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