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d53940ef654141" /><Relationship Type="http://schemas.openxmlformats.org/package/2006/relationships/metadata/core-properties" Target="/package/services/metadata/core-properties/c2310b3ce2c5479295229e7837acd6fa.psmdcp" Id="Rc831ee886aec494b" 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/>
        <w:spacing w:before="2380" w:after="140" w:line="240" w:lineRule="exact"/>
        <w:ind w:firstLine="0"/>
        <w:jc w:val="both"/>
      </w:pPr>
      <w:r>
        <w:rPr>
          <w:u w:val="single"/>
          <w:sz w:val="20"/>
          <w:rFonts w:hint="eastAsia" w:ascii="Calibri" w:hAnsi="Calibri" w:eastAsia="Calibri"/>
          <w:color w:val="000000"/>
        </w:rPr>
        <w:t xml:space="preserve">Table 94 Tobacco and alcohol use by women and men-Cantinued</w:t>
      </w:r>
    </w:p>
    <w:p>
      <w:pPr>
        <w:tabs/>
        <w:spacing w:after="140" w:line="200" w:lineRule="exact"/>
        <w:ind w:left="20" w:firstLine="0"/>
        <w:jc w:val="both"/>
      </w:pPr>
      <w:r>
        <w:rPr>
          <w:sz w:val="16"/>
          <w:rFonts w:hint="eastAsia" w:ascii="Calibri" w:hAnsi="Calibri" w:eastAsia="Calibri"/>
          <w:color w:val="000000"/>
        </w:rPr>
        <w:t xml:space="preserve">Percentage of women and men age 15-49 by their use of tobacco and alcohol,percent distribution of those who smoke cigarettes </w:t>
      </w:r>
      <w:r>
        <w:rPr>
          <w:sz w:val="16"/>
          <w:rFonts w:hint="eastAsia" w:ascii="Calibri" w:hAnsi="Calibri" w:eastAsia="Calibri"/>
          <w:color w:val="000000"/>
        </w:rPr>
        <w:t xml:space="preserve">or bidis by number of cigarettes/bidis smoked in the 24 hours preceding the survey,and among those who drink alcohol,the percent </w:t>
      </w:r>
      <w:r>
        <w:rPr>
          <w:sz w:val="16"/>
          <w:rFonts w:hint="eastAsia" w:ascii="Calibri" w:hAnsi="Calibri" w:eastAsia="Calibri"/>
          <w:color w:val="000000"/>
        </w:rPr>
        <w:t xml:space="preserve">distribution of the frequency of alcohol consumption, by residence, NCT of Delhi, 2019-21</w:t>
      </w:r>
    </w:p>
    <w:tbl>
      <w:tblPr>
        <w:jc w:val="center"/>
        <w:tblBorders>
          <w:top w:val="single" w:color="auto" w:sz="4" w:space="0"/>
          <w:bottom w:val="single" w:color="auto" w:sz="4" w:space="0"/>
          <w:left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W w:w="9380" w:type="dxa"/>
        <w:tblLook w:val="04A0" w:firstRow="true" w:lastRow="false" w:firstColumn="true" w:lastColumn="false" w:noHBand="false" w:noVBand="true"/>
      </w:tblPr>
      <w:tblGrid>
        <w:gridCol w:w="2860"/>
        <w:gridCol w:w="1660"/>
        <w:gridCol w:w="960"/>
        <w:gridCol w:w="960"/>
        <w:gridCol w:w="960"/>
        <w:gridCol w:w="960"/>
        <w:gridCol w:w="780"/>
      </w:tblGrid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60" w:type="dxa"/>
            <w:tcBorders/>
            <w:vAlign w:val="center"/>
          </w:tcPr>
          <w:p/>
        </w:tc>
        <w:tc>
          <w:tcPr>
            <w:tcW w:w="16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Women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>
            <w:pPr>
              <w:tabs/>
              <w:spacing w:line="216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Men</w:t>
            </w:r>
          </w:p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rPr>
          <w:trHeight w:val="26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Tobacco/alcohol use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Urban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Rural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</w:tr>
      <w:tr w:rsidR="00A23914" w:rsidTr="00A23914">
        <w:trPr>
          <w:trHeight w:val="520"/>
        </w:trPr>
        <w:trPr>
          <w:trHeight w:val="520"/>
        </w:trPr>
        <w:trPr>
          <w:trHeight w:val="520"/>
        </w:trPr>
        <w:trPr>
          <w:trHeight w:val="520"/>
        </w:trPr>
        <w:trPr>
          <w:trHeight w:val="520"/>
        </w:trPr>
        <w:trPr>
          <w:trHeight w:val="520"/>
        </w:trPr>
        <w:trPr>
          <w:trHeight w:val="520"/>
        </w:trPr>
        <w:tc>
          <w:tcPr>
            <w:tcW w:w="2860" w:type="dxa"/>
            <w:tcBorders/>
            <w:vAlign w:val="bottom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Among those who drink alcohol,frequ</w:t>
            </w:r>
          </w:p>
        </w:tc>
        <w:tc>
          <w:tcPr>
            <w:tcW w:w="1660" w:type="dxa"/>
            <w:tcBorders/>
            <w:vAlign w:val="bottom"/>
          </w:tcPr>
          <w:p>
            <w:pPr>
              <w:tabs/>
              <w:spacing w:before="390"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ency</w:t>
            </w:r>
          </w:p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of drinking</w:t>
            </w:r>
          </w:p>
        </w:tc>
        <w:tc>
          <w:tcPr>
            <w:tcW w:w="16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960" w:type="dxa"/>
            <w:tcBorders/>
            <w:vAlign w:val="center"/>
          </w:tcPr>
          <w:p/>
        </w:tc>
        <w:tc>
          <w:tcPr>
            <w:tcW w:w="780" w:type="dxa"/>
            <w:tcBorders/>
            <w:vAlign w:val="center"/>
          </w:tcPr>
          <w:p/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Almost every day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1.1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9.8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9.7</w:t>
            </w:r>
          </w:p>
        </w:tc>
      </w:tr>
      <w:tr w:rsidR="00A23914" w:rsidTr="00A23914"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rPr>
          <w:trHeight w:val="16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About once a week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17.2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17.0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37.8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right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38.3</w:t>
            </w:r>
          </w:p>
        </w:tc>
      </w:tr>
      <w:tr w:rsidR="00A23914" w:rsidTr="00A23914"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rPr>
          <w:trHeight w:val="32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Less than once a week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81.7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82.0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52.4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52.0</w:t>
            </w:r>
          </w:p>
        </w:tc>
      </w:tr>
      <w:tr w:rsidR="00A23914" w:rsidTr="00A23914"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rPr>
          <w:trHeight w:val="42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Total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both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100.0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.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100.0</w:t>
            </w:r>
          </w:p>
        </w:tc>
      </w:tr>
      <w:tr w:rsidR="00A23914" w:rsidTr="00A23914"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rPr>
          <w:trHeight w:val="380"/>
        </w:trPr>
        <w:tc>
          <w:tcPr>
            <w:tcW w:w="2860" w:type="dxa"/>
            <w:tcBorders/>
            <w:vAlign w:val="center"/>
          </w:tcPr>
          <w:p>
            <w:pPr>
              <w:tabs/>
              <w:spacing w:line="200" w:lineRule="exact"/>
              <w:ind w:firstLine="0"/>
              <w:jc w:val="left"/>
            </w:pPr>
            <w:r>
              <w:rPr>
                <w:sz w:val="16"/>
                <w:rFonts w:hint="eastAsia" w:ascii="Calibri" w:hAnsi="Calibri" w:eastAsia="Calibri"/>
                <w:color w:val="000000"/>
              </w:rPr>
              <w:t xml:space="preserve">Number who drink alcohol</w:t>
            </w:r>
          </w:p>
        </w:tc>
        <w:tc>
          <w:tcPr>
            <w:tcW w:w="1660" w:type="dxa"/>
            <w:tcBorders/>
            <w:vAlign w:val="center"/>
          </w:tcPr>
          <w:p>
            <w:pPr>
              <w:tabs/>
              <w:spacing w:line="180" w:lineRule="exact"/>
              <w:ind w:firstLine="0"/>
              <w:jc w:val="both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157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2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159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6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444</w:t>
            </w:r>
          </w:p>
        </w:tc>
        <w:tc>
          <w:tcPr>
            <w:tcW w:w="960" w:type="dxa"/>
            <w:tcBorders/>
            <w:vAlign w:val="center"/>
          </w:tcPr>
          <w:p>
            <w:pPr>
              <w:tabs/>
              <w:spacing w:line="180" w:lineRule="exact"/>
              <w:ind/>
              <w:jc w:val="center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4</w:t>
            </w:r>
          </w:p>
        </w:tc>
        <w:tc>
          <w:tcPr>
            <w:tcW w:w="780" w:type="dxa"/>
            <w:tcBorders/>
            <w:vAlign w:val="center"/>
          </w:tcPr>
          <w:p>
            <w:pPr>
              <w:tabs/>
              <w:spacing w:line="160" w:lineRule="exact"/>
              <w:ind w:firstLine="0"/>
              <w:jc w:val="right"/>
            </w:pPr>
            <w:r>
              <w:rPr>
                <w:sz w:val="16"/>
                <w:rFonts w:hint="eastAsia" w:ascii="SimSun" w:hAnsi="SimSun" w:eastAsia="SimSun"/>
                <w:color w:val="000000"/>
              </w:rPr>
              <w:t xml:space="preserve">448</w:t>
            </w:r>
          </w:p>
        </w:tc>
      </w:tr>
    </w:tbl>
    <w:p>
      <w:pPr>
        <w:tabs/>
        <w:spacing w:before="80" w:line="200" w:lineRule="exact"/>
        <w:ind w:left="20" w:firstLine="0"/>
        <w:jc w:val="both"/>
        <w:sectPr>
          <w:type w:val="continuous"/>
          <w:pgSz w:w="13320" w:h="16840" w:orient="portrait"/>
          <w:pgMar w:top="1440" w:right="720" w:bottom="1440" w:left="720" w:header="0" w:footer="0"/>
          <w:cols w:equalWidth="true" w:num="1"/>
        </w:sectPr>
      </w:pPr>
      <w:r>
        <w:rPr>
          <w:sz w:val="16"/>
          <w:rFonts w:hint="eastAsia" w:ascii="Calibri" w:hAnsi="Calibri" w:eastAsia="Calibri"/>
          <w:color w:val="000000"/>
        </w:rPr>
        <w:t xml:space="preserve">Note:Figures in parentheses are based on 25-49 unweighted cases. An asterisk indicates that a figure is based on fewer than 25 unweighted cases </w:t>
      </w:r>
      <w:r>
        <w:rPr>
          <w:sz w:val="16"/>
          <w:rFonts w:hint="eastAsia" w:ascii="Calibri" w:hAnsi="Calibri" w:eastAsia="Calibri"/>
          <w:color w:val="000000"/>
        </w:rPr>
        <w:t xml:space="preserve">and has been suppressed.</w: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3378200</wp:posOffset>
                </wp:positionV>
                <wp:extent cx="7569200" cy="38100"/>
                <wp:effectExtent l="0" t="0" r="635" b="14605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1470" y="2139315"/>
                          <a:ext cx="2132965" cy="337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80" w:line="200" w:lineRule="exact"/>
                              <w:ind w:left="20" w:firstLine="0"/>
                              <w:jc w:val="both"/>
                            </w:pPr>
                            <w:r>
                              <w:pict>
                                <v:rect style="width:594pt;height:1.5pt" o:hr="true" o:hrstd="true" o:hrnoshade="true" o:hrpct="0" o:hralign="center" fillcolor="black [3213]" stroked="false"/>
                              </w:pict>
                            </w:r>
                          </w:p>
                        </w:txbxContent>
                      </wps:txbx>
                      <wps:bodyPr lIns="25400" tIns="0" rIns="2540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left:0pt;margin-left:36.0pt;margin-top:686.0pt;height:3.0pt;width:596.0pt;z-index:638386902341093669;mso-width-relative:page;mso-height-relative:page;mso-position-vertical-relative:page;mso-position-horizontal-relative:page;" coordsize="21600,21600" o:spid="_x0000_s2" filled="true" fillcolor="#FFFFFF [3201]" stroked="false" o:spt="202" type="#_x0000_t202" o:gfxdata="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C7O6i9YAAAAL&#10;AQAADwAAAAAAAAABACAAAAA4AAAAZHJzL2Rvd25yZXYueG1sUEsBAhQAFAAAAAgAh07iQIf01n1B&#10;AgAATgQAAA4AAAAAAAAAAQAgAAAAOwEAAGRycy9lMm9Eb2MueG1sUEsFBgAAAAAGAAYAWQEAAO4F&#10;AAAAAA==&#10;">
                <v:fill on="true" focussize="0,0"/>
                <v:stroke on="false" weight="0.5pt"/>
                <v:imagedata o:title=""/>
                <o:lock v:ext="edit" aspectratio="false"/>
                <v:textbox inset="2,0,2,0">
                  <w:txbxContent>
                    <w:p>
                      <w:pPr>
                        <w:spacing w:before="80" w:line="200" w:lineRule="exact"/>
                        <w:ind w:left="20" w:firstLine="0"/>
                        <w:jc w:val="both"/>
                      </w:pPr>
                      <w:r>
                        <w:pict>
                          <v:rect style="width:594pt;height:1.5pt" o:hr="true" o:hrstd="true" o:hrnoshade="true" o:hrpct="0" o:hralign="center" fillcolor="black [3213]" stroked="false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1" w:lineRule="exact"/>
      </w:pPr>
    </w:p>
    <w:sectPr>
      <w:type w:val="continuous"/>
      <w:pgMar w:top="1440" w:right="720" w:bottom="1440" w:left="720" w:header="0" w:footer="0"/>
      <w:pgSz w:w="1332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