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59b83146ae4012" /><Relationship Type="http://schemas.openxmlformats.org/package/2006/relationships/metadata/core-properties" Target="/package/services/metadata/core-properties/bd4282a52ef841b8a42aadc4d86940e1.psmdcp" Id="R72e3e01ccdf3413d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2420" w:line="160" w:lineRule="exact"/>
        <w:ind w:left="180" w:firstLine="0"/>
        <w:jc w:val="both"/>
      </w:pPr>
      <w:r>
        <w:rPr>
          <w:sz w:val="14"/>
          <w:rFonts w:hint="eastAsia" w:ascii="Calibri" w:hAnsi="Calibri" w:eastAsia="Calibri"/>
          <w:color w:val="000000"/>
        </w:rPr>
        <w:t xml:space="preserve">Percentage of women and man age 15-49 by their use of tobacco and alcchol, percent distribution of those who smolcigarettes </w:t>
      </w:r>
      <w:r>
        <w:rPr>
          <w:sz w:val="14"/>
          <w:rFonts w:hint="eastAsia" w:ascii="Calibri" w:hAnsi="Calibri" w:eastAsia="Calibri"/>
          <w:color w:val="000000"/>
        </w:rPr>
        <w:t xml:space="preserve">or bidis by number of cigarettes/bidis smaked in the 24 hours preceding the survey,and among those wha drink alcohol, the </w:t>
      </w:r>
      <w:r>
        <w:rPr>
          <w:sz w:val="14"/>
          <w:rFonts w:hint="eastAsia" w:ascii="Calibri" w:hAnsi="Calibri" w:eastAsia="Calibri"/>
          <w:color w:val="000000"/>
        </w:rPr>
        <w:t xml:space="preserve">percent distribution of the frequency of akohalcansumption, by residence,Kamataka,2019-20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7340" w:type="dxa"/>
        <w:tblLook w:val="04A0" w:firstRow="true" w:lastRow="false" w:firstColumn="true" w:lastColumn="false" w:noHBand="false" w:noVBand="true"/>
      </w:tblPr>
      <w:tblGrid>
        <w:gridCol w:w="2720"/>
        <w:gridCol w:w="760"/>
        <w:gridCol w:w="760"/>
        <w:gridCol w:w="760"/>
        <w:gridCol w:w="760"/>
        <w:gridCol w:w="760"/>
        <w:gridCol w:w="760"/>
      </w:tblGrid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2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Women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760" w:type="dxa"/>
            <w:tcBorders/>
            <w:vAlign w:val="center"/>
          </w:tcPr>
          <w:p/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Tobacco/alcchol use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c>
          <w:tcPr>
            <w:tcW w:w="2720" w:type="dxa"/>
            <w:tcBorders/>
            <w:vAlign w:val="bottom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 of tobacco/alcohol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cigarettes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bids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Smakes cigars or pipe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1.1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hocinb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gutkha or paae masela wth tobacco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khoin/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poan with tebacco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5.0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chewing tobacco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snuff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tobacco product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any type of tobacco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30.9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27.3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Drinks alcohol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26.1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23.1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respondents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12,361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18,094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30,455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1,718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2,402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4,120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smoke cigarettes,number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cigarettes smoked in the past 24 hours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63.6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74.7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69.3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60" w:type="dxa"/>
            <w:vMerge w:val="restart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60" w:type="dxa"/>
            <w:tcBorders/>
            <w:vAlign w:val="bottom"/>
          </w:tcPr>
          <w:p>
            <w:pPr>
              <w:tabs/>
              <w:spacing w:before="98" w:line="20" w:lineRule="exact"/>
              <w:ind/>
              <w:jc w:val="center"/>
            </w:pPr>
            <w:r>
              <w:rPr>
                <w:sz w:val="2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60" w:type="dxa"/>
            <w:vMerge/>
          </w:tcPr>
          <w:p w:rsidR="00A23914" w:rsidP="00A23914" w:rsidRDefault="00A23914"/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top"/>
          </w:tcPr>
          <w:p>
            <w:pPr>
              <w:tabs/>
              <w:spacing w:before="20" w:line="60" w:lineRule="exact"/>
              <w:ind/>
              <w:jc w:val="center"/>
            </w:pPr>
            <w:r>
              <w:rPr>
                <w:sz w:val="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mare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-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5.6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cigarette smokers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256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502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Amang those who smoke bidh,number of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bidis smaked in the past 24 hours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76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(117)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18.5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760" w:type="dxa"/>
            <w:vMerge/>
          </w:tcPr>
          <w:p w:rsidR="00A23914" w:rsidP="00A23914" w:rsidRDefault="00A23914"/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(30.0)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(24.6)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24.7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(24.7)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20.0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ne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1.5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760" w:type="dxa"/>
            <w:tcBorders/>
            <w:vAlign w:val="top"/>
          </w:tcPr>
          <w:p>
            <w:pPr>
              <w:tabs/>
              <w:spacing w:before="20"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(9.0)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5.9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7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bidi smokers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148</w:t>
            </w:r>
          </w:p>
        </w:tc>
      </w:tr>
      <w:tr w:rsidR="00A23914" w:rsidTr="00A23914">
        <w:trPr>
          <w:trHeight w:val="280"/>
        </w:trPr>
        <w:tc>
          <w:tcPr>
            <w:gridSpan w:val="7"/>
            <w:tcW w:w="72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righ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Continued.</w:t>
            </w:r>
          </w:p>
        </w:tc>
      </w:tr>
    </w:tbl>
    <w:p>
      <w:pPr>
        <w:spacing w:line="1" w:lineRule="exact"/>
        <w:sectPr>
          <w:type w:val="continuous"/>
          <w:pgSz w:w="11900" w:h="16840" w:orient="portrait"/>
          <w:pgMar w:top="1440" w:right="1800" w:bottom="1440" w:left="180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800" w:bottom="1440" w:left="180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